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34CB87" w14:textId="77777777" w:rsidR="007E5D84" w:rsidRDefault="00CE3948">
      <w:pPr>
        <w:spacing w:line="276" w:lineRule="auto"/>
        <w:rPr>
          <w:rFonts w:ascii="Century Gothic" w:hAnsi="Century Gothic"/>
          <w:color w:val="00B0F0"/>
          <w:sz w:val="24"/>
          <w:szCs w:val="24"/>
        </w:rPr>
      </w:pPr>
      <w:r>
        <w:rPr>
          <w:rFonts w:ascii="Gadugi" w:hAnsi="Gadugi"/>
          <w:sz w:val="24"/>
          <w:szCs w:val="24"/>
        </w:rPr>
        <w:t xml:space="preserve"> </w:t>
      </w:r>
    </w:p>
    <w:p w14:paraId="2970FBE5" w14:textId="77777777" w:rsidR="007E5D84" w:rsidRDefault="00CE3948">
      <w:pPr>
        <w:spacing w:line="276" w:lineRule="auto"/>
      </w:pPr>
      <w:r>
        <w:rPr>
          <w:noProof/>
        </w:rPr>
        <mc:AlternateContent>
          <mc:Choice Requires="wps">
            <w:drawing>
              <wp:anchor distT="6350" distB="6350" distL="6985" distR="5715" simplePos="0" relativeHeight="25" behindDoc="0" locked="0" layoutInCell="0" allowOverlap="1" wp14:anchorId="194E11D0" wp14:editId="630E255D">
                <wp:simplePos x="0" y="0"/>
                <wp:positionH relativeFrom="margin">
                  <wp:align>right</wp:align>
                </wp:positionH>
                <wp:positionV relativeFrom="paragraph">
                  <wp:posOffset>76200</wp:posOffset>
                </wp:positionV>
                <wp:extent cx="5313045" cy="1567180"/>
                <wp:effectExtent l="6985" t="6350" r="5715" b="6350"/>
                <wp:wrapNone/>
                <wp:docPr id="1" name="Rectangle 1"/>
                <wp:cNvGraphicFramePr/>
                <a:graphic xmlns:a="http://schemas.openxmlformats.org/drawingml/2006/main">
                  <a:graphicData uri="http://schemas.microsoft.com/office/word/2010/wordprocessingShape">
                    <wps:wsp>
                      <wps:cNvSpPr/>
                      <wps:spPr>
                        <a:xfrm>
                          <a:off x="0" y="0"/>
                          <a:ext cx="5312880" cy="1567080"/>
                        </a:xfrm>
                        <a:prstGeom prst="rect">
                          <a:avLst/>
                        </a:prstGeom>
                        <a:solidFill>
                          <a:schemeClr val="bg1"/>
                        </a:solidFill>
                        <a:ln>
                          <a:solidFill>
                            <a:srgbClr val="000000"/>
                          </a:solidFill>
                        </a:ln>
                      </wps:spPr>
                      <wps:style>
                        <a:lnRef idx="2">
                          <a:schemeClr val="accent1">
                            <a:shade val="50000"/>
                          </a:schemeClr>
                        </a:lnRef>
                        <a:fillRef idx="1">
                          <a:schemeClr val="accent1"/>
                        </a:fillRef>
                        <a:effectRef idx="0">
                          <a:schemeClr val="accent1"/>
                        </a:effectRef>
                        <a:fontRef idx="minor"/>
                      </wps:style>
                      <wps:txbx>
                        <w:txbxContent>
                          <w:p w14:paraId="5070A4E8" w14:textId="77777777" w:rsidR="007E5D84" w:rsidRDefault="00CE3948">
                            <w:pPr>
                              <w:pStyle w:val="Contenudecadre"/>
                              <w:shd w:val="clear" w:color="auto" w:fill="FFFFFF" w:themeFill="background1"/>
                              <w:jc w:val="center"/>
                              <w:rPr>
                                <w:b/>
                                <w:sz w:val="36"/>
                                <w:szCs w:val="36"/>
                              </w:rPr>
                            </w:pPr>
                            <w:r>
                              <w:rPr>
                                <w:b/>
                                <w:sz w:val="36"/>
                                <w:szCs w:val="36"/>
                              </w:rPr>
                              <w:t>Note technique</w:t>
                            </w:r>
                          </w:p>
                          <w:p w14:paraId="0C73283C" w14:textId="77777777" w:rsidR="007E5D84" w:rsidRDefault="00CE3948">
                            <w:pPr>
                              <w:pStyle w:val="Contenudecadre"/>
                              <w:shd w:val="clear" w:color="auto" w:fill="FFFFFF" w:themeFill="background1"/>
                              <w:jc w:val="center"/>
                              <w:rPr>
                                <w:b/>
                                <w:sz w:val="36"/>
                                <w:szCs w:val="36"/>
                              </w:rPr>
                            </w:pPr>
                            <w:r>
                              <w:rPr>
                                <w:b/>
                                <w:sz w:val="36"/>
                                <w:szCs w:val="36"/>
                              </w:rPr>
                              <w:t xml:space="preserve">Instruction des AEC en CDAC </w:t>
                            </w:r>
                          </w:p>
                          <w:p w14:paraId="38DB3201" w14:textId="77777777" w:rsidR="007E5D84" w:rsidRDefault="00CE3948">
                            <w:pPr>
                              <w:pStyle w:val="Contenudecadre"/>
                              <w:shd w:val="clear" w:color="auto" w:fill="FFFFFF" w:themeFill="background1"/>
                              <w:jc w:val="center"/>
                              <w:rPr>
                                <w:b/>
                                <w:sz w:val="36"/>
                                <w:szCs w:val="36"/>
                              </w:rPr>
                            </w:pPr>
                            <w:r>
                              <w:rPr>
                                <w:b/>
                                <w:sz w:val="36"/>
                                <w:szCs w:val="36"/>
                              </w:rPr>
                              <w:t>Modalités d'application des prescriptions du SCOT comprises dans le DOO et le DAACL</w:t>
                            </w:r>
                          </w:p>
                          <w:p w14:paraId="4C1A30A5" w14:textId="77777777" w:rsidR="007E5D84" w:rsidRDefault="00CE3948">
                            <w:pPr>
                              <w:pStyle w:val="Contenudecadre"/>
                              <w:shd w:val="clear" w:color="auto" w:fill="FFFFFF" w:themeFill="background1"/>
                              <w:jc w:val="center"/>
                              <w:rPr>
                                <w:sz w:val="36"/>
                                <w:szCs w:val="36"/>
                              </w:rPr>
                            </w:pPr>
                            <w:r>
                              <w:rPr>
                                <w:b/>
                                <w:sz w:val="36"/>
                                <w:szCs w:val="36"/>
                              </w:rPr>
                              <w:t>Vademecum</w:t>
                            </w:r>
                          </w:p>
                        </w:txbxContent>
                      </wps:txbx>
                      <wps:bodyPr anchor="ctr">
                        <a:prstTxWarp prst="textNoShape">
                          <a:avLst/>
                        </a:prstTxWarp>
                        <a:noAutofit/>
                      </wps:bodyPr>
                    </wps:wsp>
                  </a:graphicData>
                </a:graphic>
              </wp:anchor>
            </w:drawing>
          </mc:Choice>
          <mc:Fallback>
            <w:pict>
              <v:rect w14:anchorId="194E11D0" id="Rectangle 1" o:spid="_x0000_s1026" style="position:absolute;left:0;text-align:left;margin-left:367.15pt;margin-top:6pt;width:418.35pt;height:123.4pt;z-index:25;visibility:visible;mso-wrap-style:square;mso-wrap-distance-left:.55pt;mso-wrap-distance-top:.5pt;mso-wrap-distance-right:.45pt;mso-wrap-distance-bottom:.5pt;mso-position-horizontal:righ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" o:allowincell="f" fillcolor="white [3212]" strokeweight="1pt">
                <v:textbox>
                  <w:txbxContent>
                    <w:p w14:paraId="5070A4E8" w14:textId="77777777" w:rsidR="007E5D84" w:rsidRDefault="00CE3948">
                      <w:pPr>
                        <w:pStyle w:val="Contenudecadre"/>
                        <w:shd w:val="clear" w:color="auto" w:fill="FFFFFF" w:themeFill="background1"/>
                        <w:jc w:val="center"/>
                        <w:rPr>
                          <w:b/>
                          <w:sz w:val="36"/>
                          <w:szCs w:val="36"/>
                        </w:rPr>
                      </w:pPr>
                      <w:r>
                        <w:rPr>
                          <w:b/>
                          <w:sz w:val="36"/>
                          <w:szCs w:val="36"/>
                        </w:rPr>
                        <w:t>Note technique</w:t>
                      </w:r>
                    </w:p>
                    <w:p w14:paraId="0C73283C" w14:textId="77777777" w:rsidR="007E5D84" w:rsidRDefault="00CE3948">
                      <w:pPr>
                        <w:pStyle w:val="Contenudecadre"/>
                        <w:shd w:val="clear" w:color="auto" w:fill="FFFFFF" w:themeFill="background1"/>
                        <w:jc w:val="center"/>
                        <w:rPr>
                          <w:b/>
                          <w:sz w:val="36"/>
                          <w:szCs w:val="36"/>
                        </w:rPr>
                      </w:pPr>
                      <w:r>
                        <w:rPr>
                          <w:b/>
                          <w:sz w:val="36"/>
                          <w:szCs w:val="36"/>
                        </w:rPr>
                        <w:t xml:space="preserve">Instruction des AEC en CDAC </w:t>
                      </w:r>
                    </w:p>
                    <w:p w14:paraId="38DB3201" w14:textId="77777777" w:rsidR="007E5D84" w:rsidRDefault="00CE3948">
                      <w:pPr>
                        <w:pStyle w:val="Contenudecadre"/>
                        <w:shd w:val="clear" w:color="auto" w:fill="FFFFFF" w:themeFill="background1"/>
                        <w:jc w:val="center"/>
                        <w:rPr>
                          <w:b/>
                          <w:sz w:val="36"/>
                          <w:szCs w:val="36"/>
                        </w:rPr>
                      </w:pPr>
                      <w:r>
                        <w:rPr>
                          <w:b/>
                          <w:sz w:val="36"/>
                          <w:szCs w:val="36"/>
                        </w:rPr>
                        <w:t>Modalités d'application des prescriptions du SCOT comprises dans le DOO et le DAACL</w:t>
                      </w:r>
                    </w:p>
                    <w:p w14:paraId="4C1A30A5" w14:textId="77777777" w:rsidR="007E5D84" w:rsidRDefault="00CE3948">
                      <w:pPr>
                        <w:pStyle w:val="Contenudecadre"/>
                        <w:shd w:val="clear" w:color="auto" w:fill="FFFFFF" w:themeFill="background1"/>
                        <w:jc w:val="center"/>
                        <w:rPr>
                          <w:sz w:val="36"/>
                          <w:szCs w:val="36"/>
                        </w:rPr>
                      </w:pPr>
                      <w:r>
                        <w:rPr>
                          <w:b/>
                          <w:sz w:val="36"/>
                          <w:szCs w:val="36"/>
                        </w:rPr>
                        <w:t>Vademecum</w:t>
                      </w:r>
                    </w:p>
                  </w:txbxContent>
                </v:textbox>
                <w10:wrap anchorx="margin"/>
              </v:rect>
            </w:pict>
          </mc:Fallback>
        </mc:AlternateContent>
      </w:r>
    </w:p>
    <w:p w14:paraId="6E7C51B6" w14:textId="77777777" w:rsidR="007E5D84" w:rsidRDefault="007E5D84">
      <w:pPr>
        <w:spacing w:line="276" w:lineRule="auto"/>
      </w:pPr>
    </w:p>
    <w:p w14:paraId="3257A4EF" w14:textId="77777777" w:rsidR="007E5D84" w:rsidRDefault="007E5D84">
      <w:pPr>
        <w:spacing w:line="276" w:lineRule="auto"/>
      </w:pPr>
    </w:p>
    <w:p w14:paraId="675F3B5D" w14:textId="77777777" w:rsidR="007E5D84" w:rsidRDefault="007E5D84">
      <w:pPr>
        <w:spacing w:line="276" w:lineRule="auto"/>
      </w:pPr>
    </w:p>
    <w:p w14:paraId="4B75571F" w14:textId="77777777" w:rsidR="007E5D84" w:rsidRDefault="007E5D84">
      <w:pPr>
        <w:spacing w:line="276" w:lineRule="auto"/>
      </w:pPr>
    </w:p>
    <w:p w14:paraId="6F9C0F29" w14:textId="77777777" w:rsidR="007E5D84" w:rsidRDefault="007E5D84">
      <w:pPr>
        <w:spacing w:line="276" w:lineRule="auto"/>
      </w:pPr>
    </w:p>
    <w:p w14:paraId="50FE7BFF" w14:textId="77777777" w:rsidR="007E5D84" w:rsidRDefault="007E5D84">
      <w:pPr>
        <w:spacing w:line="276" w:lineRule="auto"/>
        <w:rPr>
          <w:rFonts w:ascii="Calibri" w:eastAsia="Calibri" w:hAnsi="Calibri" w:cs="Calibri"/>
          <w:b/>
          <w:sz w:val="24"/>
          <w:szCs w:val="24"/>
        </w:rPr>
      </w:pPr>
    </w:p>
    <w:p w14:paraId="4DE7D940" w14:textId="77777777" w:rsidR="007E5D84" w:rsidRDefault="007E5D84">
      <w:pPr>
        <w:spacing w:line="276" w:lineRule="auto"/>
        <w:rPr>
          <w:rFonts w:ascii="Calibri" w:eastAsia="Calibri" w:hAnsi="Calibri" w:cs="Calibri"/>
          <w:b/>
          <w:sz w:val="24"/>
          <w:szCs w:val="24"/>
        </w:rPr>
      </w:pPr>
    </w:p>
    <w:p w14:paraId="52865081" w14:textId="77777777" w:rsidR="007E5D84" w:rsidRDefault="007E5D84">
      <w:pPr>
        <w:spacing w:line="276" w:lineRule="auto"/>
        <w:rPr>
          <w:rFonts w:ascii="Calibri" w:eastAsia="Calibri" w:hAnsi="Calibri" w:cs="Calibri"/>
          <w:b/>
          <w:sz w:val="24"/>
          <w:szCs w:val="24"/>
        </w:rPr>
      </w:pPr>
    </w:p>
    <w:p w14:paraId="05CB400E" w14:textId="3B59467F" w:rsidR="007E5D84" w:rsidRDefault="00236207">
      <w:pPr>
        <w:spacing w:line="276" w:lineRule="auto"/>
        <w:rPr>
          <w:rFonts w:ascii="Calibri" w:eastAsia="Calibri" w:hAnsi="Calibri" w:cs="Calibri"/>
          <w:b/>
          <w:sz w:val="24"/>
          <w:szCs w:val="24"/>
        </w:rPr>
      </w:pPr>
      <w:r>
        <w:rPr>
          <w:rFonts w:eastAsia="Calibri" w:cs="Calibri"/>
          <w:b/>
          <w:sz w:val="24"/>
          <w:szCs w:val="24"/>
        </w:rPr>
        <w:t>O</w:t>
      </w:r>
      <w:r w:rsidR="00CE3948">
        <w:rPr>
          <w:rFonts w:eastAsia="Calibri" w:cs="Calibri"/>
          <w:b/>
          <w:sz w:val="24"/>
          <w:szCs w:val="24"/>
        </w:rPr>
        <w:t>pposabilité du SCOT et nécessité d'une doctrine d'application du DAACL dans les SIP</w:t>
      </w:r>
    </w:p>
    <w:p w14:paraId="61650EBC" w14:textId="77777777" w:rsidR="007E5D84" w:rsidRDefault="007E5D84">
      <w:pPr>
        <w:spacing w:line="276" w:lineRule="auto"/>
        <w:rPr>
          <w:rFonts w:ascii="Calibri" w:eastAsia="Calibri" w:hAnsi="Calibri" w:cs="Calibri"/>
          <w:b/>
          <w:sz w:val="24"/>
          <w:szCs w:val="24"/>
        </w:rPr>
      </w:pPr>
    </w:p>
    <w:p w14:paraId="7CF31E3B" w14:textId="77777777" w:rsidR="007E5D84" w:rsidRDefault="00CE3948">
      <w:pPr>
        <w:spacing w:line="276" w:lineRule="auto"/>
        <w:rPr>
          <w:rFonts w:ascii="Calibri" w:eastAsia="Calibri" w:hAnsi="Calibri" w:cs="Calibri"/>
        </w:rPr>
      </w:pPr>
      <w:r>
        <w:rPr>
          <w:rFonts w:eastAsia="Calibri" w:cs="Calibri"/>
        </w:rPr>
        <w:t xml:space="preserve">Le schéma de cohérence territoriale (SCOT) de la métropole Aix-Marseille-Provence approuvé le 30 juin 2025 est exécutoire depuis le 3 septembre 2025. Dans ce cadre, les autorisations d'exploitation commerciale (AEC) doivent être instruites au regard du SCOT, et plus précisément dans le cadre d'un rapport de compatibilité avec le document d'orientation et d'objectifs du SCOT qui comprend un </w:t>
      </w:r>
      <w:r>
        <w:rPr>
          <w:rFonts w:eastAsia="Calibri"/>
        </w:rPr>
        <w:t>document d'aménagement artisanal, commercial et logistique (DAACL).</w:t>
      </w:r>
    </w:p>
    <w:p w14:paraId="15DBB8C5" w14:textId="77777777" w:rsidR="007E5D84" w:rsidRDefault="00CE3948">
      <w:pPr>
        <w:spacing w:line="276" w:lineRule="auto"/>
        <w:rPr>
          <w:rFonts w:ascii="Calibri" w:eastAsia="Calibri" w:hAnsi="Calibri" w:cs="Calibri"/>
        </w:rPr>
      </w:pPr>
      <w:r>
        <w:rPr>
          <w:rFonts w:eastAsia="Calibri"/>
        </w:rPr>
        <w:t>Le DAACL détermine les conditions d'implantation des commerces avec des règles directement applicables aux demandes d'AEC, sur la base de prescriptions du SCOT destinées à limiter l'extension des commerces en diffus, en périphérie des centralités urbaines.</w:t>
      </w:r>
    </w:p>
    <w:p w14:paraId="294C1072" w14:textId="77777777" w:rsidR="007E5D84" w:rsidRDefault="00CE3948">
      <w:pPr>
        <w:spacing w:line="276" w:lineRule="auto"/>
        <w:rPr>
          <w:rFonts w:ascii="Calibri" w:eastAsia="Calibri" w:hAnsi="Calibri" w:cs="Calibri"/>
        </w:rPr>
      </w:pPr>
      <w:r>
        <w:rPr>
          <w:rFonts w:eastAsia="Calibri"/>
        </w:rPr>
        <w:t>Aussi, dans le but de faciliter les démarches des porteurs de projets dans l'élaboration des dossiers d'AEC, cette note précise les modalités d'application des règles du DAACL dans les secteurs d'implantation périphériques définis et localisés dans le DAACL.</w:t>
      </w:r>
    </w:p>
    <w:p w14:paraId="661FA5B3" w14:textId="77777777" w:rsidR="007E5D84" w:rsidRDefault="007E5D84">
      <w:pPr>
        <w:spacing w:line="276" w:lineRule="auto"/>
        <w:rPr>
          <w:rFonts w:ascii="Calibri" w:eastAsia="Calibri" w:hAnsi="Calibri" w:cs="Calibri"/>
          <w:b/>
          <w:sz w:val="24"/>
          <w:szCs w:val="24"/>
        </w:rPr>
      </w:pPr>
    </w:p>
    <w:p w14:paraId="6724BE62" w14:textId="77777777" w:rsidR="007E5D84" w:rsidRDefault="00CE3948">
      <w:pPr>
        <w:numPr>
          <w:ilvl w:val="0"/>
          <w:numId w:val="1"/>
        </w:numPr>
        <w:spacing w:after="200" w:line="276" w:lineRule="auto"/>
        <w:rPr>
          <w:rFonts w:cs="Calibri"/>
          <w:color w:val="5B9BD5"/>
          <w:sz w:val="28"/>
          <w:szCs w:val="28"/>
        </w:rPr>
      </w:pPr>
      <w:r>
        <w:rPr>
          <w:rFonts w:eastAsia="Calibri" w:cs="Calibri"/>
          <w:b/>
          <w:color w:val="5B9BD5"/>
          <w:sz w:val="28"/>
          <w:szCs w:val="28"/>
        </w:rPr>
        <w:t>PRINCIPE GENERAL : l'opposabilité du SCOT aux AEC dans un rapport de compatibilité</w:t>
      </w:r>
    </w:p>
    <w:p w14:paraId="07A8A732" w14:textId="77777777" w:rsidR="007E5D84" w:rsidRDefault="00CE3948">
      <w:pPr>
        <w:spacing w:after="200" w:line="276" w:lineRule="auto"/>
        <w:rPr>
          <w:rFonts w:cstheme="minorHAnsi"/>
        </w:rPr>
      </w:pPr>
      <w:r>
        <w:rPr>
          <w:rFonts w:cstheme="minorHAnsi"/>
        </w:rPr>
        <w:t xml:space="preserve">Dans le cadre d’une demande d’Autorisation d’Exploitation Commerciale (AEC), le projet est apprécié par la Commission Départementale d’Aménagement Commercial (CDAC) au regard des documents de planification et d’urbanisme applicables, notamment le Schéma de Cohérence Territoriale (SCOT). </w:t>
      </w:r>
    </w:p>
    <w:p w14:paraId="6C22EAB9" w14:textId="0D383B5D" w:rsidR="007E5D84" w:rsidRDefault="00CE3948">
      <w:pPr>
        <w:spacing w:after="200" w:line="276" w:lineRule="auto"/>
        <w:rPr>
          <w:rFonts w:cstheme="minorHAnsi"/>
        </w:rPr>
      </w:pPr>
      <w:r>
        <w:rPr>
          <w:rFonts w:cstheme="minorHAnsi"/>
        </w:rPr>
        <w:t xml:space="preserve">A ce titre, il appartient au pétitionnaire de produire, dans son dossier, les éléments permettant d’apprécier la compatibilité du projet avec le SCOT et plus précisément le document d'orientation et d'objectifs (DOO) du SCOT, ainsi que le </w:t>
      </w:r>
      <w:r>
        <w:rPr>
          <w:rFonts w:eastAsia="Calibri"/>
        </w:rPr>
        <w:t xml:space="preserve">document d'aménagement artisanal, commercial et logistique (DAACL) qui </w:t>
      </w:r>
      <w:r w:rsidR="00236207">
        <w:rPr>
          <w:rFonts w:eastAsia="Calibri"/>
        </w:rPr>
        <w:t>est annexé au DOO et en c</w:t>
      </w:r>
      <w:r>
        <w:rPr>
          <w:rFonts w:eastAsia="Calibri"/>
        </w:rPr>
        <w:t xml:space="preserve">onstitue le </w:t>
      </w:r>
      <w:r w:rsidR="00236207">
        <w:rPr>
          <w:rFonts w:eastAsia="Calibri"/>
        </w:rPr>
        <w:t>volet commercial réglementaire.</w:t>
      </w:r>
    </w:p>
    <w:p w14:paraId="1293B8F1" w14:textId="1FD3D85A" w:rsidR="007E5D84" w:rsidRDefault="00CE3948">
      <w:pPr>
        <w:spacing w:after="200" w:line="276" w:lineRule="auto"/>
        <w:rPr>
          <w:rFonts w:cstheme="minorHAnsi"/>
        </w:rPr>
      </w:pPr>
      <w:r>
        <w:rPr>
          <w:rFonts w:cstheme="minorHAnsi"/>
        </w:rPr>
        <w:t xml:space="preserve">Le lien de compatibilité des AEC vis-à-vis du DOO du SCOT constitue un critère d’appréciation du projet par la CDAC. </w:t>
      </w:r>
    </w:p>
    <w:p w14:paraId="1D1FB390" w14:textId="77777777" w:rsidR="007C78B9" w:rsidRDefault="007C78B9">
      <w:pPr>
        <w:spacing w:after="200" w:line="276" w:lineRule="auto"/>
        <w:rPr>
          <w:rFonts w:cstheme="minorHAnsi"/>
        </w:rPr>
      </w:pPr>
    </w:p>
    <w:tbl>
      <w:tblPr>
        <w:tblStyle w:val="Grilledutableau"/>
        <w:tblW w:w="9067" w:type="dxa"/>
        <w:tblInd w:w="-5" w:type="dxa"/>
        <w:tblLayout w:type="fixed"/>
        <w:tblLook w:val="04A0" w:firstRow="1" w:lastRow="0" w:firstColumn="1" w:lastColumn="0" w:noHBand="0" w:noVBand="1"/>
      </w:tblPr>
      <w:tblGrid>
        <w:gridCol w:w="9067"/>
      </w:tblGrid>
      <w:tr w:rsidR="007E5D84" w14:paraId="458829DE" w14:textId="77777777">
        <w:tc>
          <w:tcPr>
            <w:tcW w:w="9067" w:type="dxa"/>
          </w:tcPr>
          <w:p w14:paraId="482AA13C" w14:textId="77777777" w:rsidR="007E5D84" w:rsidRDefault="00CE3948">
            <w:pPr>
              <w:spacing w:after="200" w:line="276" w:lineRule="auto"/>
              <w:rPr>
                <w:rFonts w:cstheme="minorHAnsi"/>
                <w:b/>
                <w:bCs/>
              </w:rPr>
            </w:pPr>
            <w:r>
              <w:rPr>
                <w:rFonts w:eastAsia="Calibri" w:cstheme="minorHAnsi"/>
                <w:b/>
                <w:bCs/>
              </w:rPr>
              <w:lastRenderedPageBreak/>
              <w:t>Fondements juridiques</w:t>
            </w:r>
          </w:p>
          <w:p w14:paraId="267850AB" w14:textId="77777777" w:rsidR="007E5D84" w:rsidRDefault="00CE3948">
            <w:pPr>
              <w:rPr>
                <w:rFonts w:ascii="Calibri" w:eastAsia="Calibri" w:hAnsi="Calibri"/>
              </w:rPr>
            </w:pPr>
            <w:r>
              <w:rPr>
                <w:rFonts w:eastAsia="Calibri"/>
              </w:rPr>
              <w:t>- Article L.752-6 du Code de commerce : la CDAC apprécie les projets au regard de leur compatibilité avec les documents d’urbanisme et de planification applicables.</w:t>
            </w:r>
          </w:p>
          <w:p w14:paraId="70BB69BD" w14:textId="77777777" w:rsidR="007E5D84" w:rsidRDefault="00CE3948">
            <w:pPr>
              <w:rPr>
                <w:rFonts w:ascii="Calibri" w:eastAsia="Calibri" w:hAnsi="Calibri"/>
              </w:rPr>
            </w:pPr>
            <w:r>
              <w:rPr>
                <w:rFonts w:eastAsia="Calibri"/>
              </w:rPr>
              <w:br/>
              <w:t>- Article R.752-6 du Code de commerce : le dossier de demande doit comporter les éléments permettant d’apprécier cette compatibilité.</w:t>
            </w:r>
          </w:p>
          <w:p w14:paraId="60D46BA6" w14:textId="77777777" w:rsidR="007E5D84" w:rsidRDefault="00CE3948">
            <w:pPr>
              <w:rPr>
                <w:rFonts w:ascii="Calibri" w:eastAsia="Calibri" w:hAnsi="Calibri"/>
              </w:rPr>
            </w:pPr>
            <w:r>
              <w:rPr>
                <w:rFonts w:eastAsia="Calibri"/>
              </w:rPr>
              <w:br/>
              <w:t>- Article L.142-1 du Code de l’urbanisme : les autorisations d’exploitation commerciale doivent être compatibles avec le DOO du SCoT.</w:t>
            </w:r>
          </w:p>
          <w:p w14:paraId="5032A009" w14:textId="77777777" w:rsidR="007E5D84" w:rsidRDefault="007E5D84">
            <w:pPr>
              <w:rPr>
                <w:rFonts w:ascii="Calibri" w:eastAsia="Calibri" w:hAnsi="Calibri"/>
              </w:rPr>
            </w:pPr>
          </w:p>
          <w:p w14:paraId="41326637" w14:textId="77777777" w:rsidR="007E5D84" w:rsidRDefault="00CE3948">
            <w:pPr>
              <w:rPr>
                <w:rFonts w:ascii="Calibri" w:eastAsia="Calibri" w:hAnsi="Calibri"/>
              </w:rPr>
            </w:pPr>
            <w:r>
              <w:rPr>
                <w:rFonts w:eastAsia="Calibri"/>
              </w:rPr>
              <w:t>- Article L141-6 du code de l'urbanisme : le DOO comprend un document d'aménagement artisanal, commercial et logistique (DAACL) rendu obligatoire par la loi ELAN.</w:t>
            </w:r>
          </w:p>
        </w:tc>
      </w:tr>
    </w:tbl>
    <w:p w14:paraId="13BAF3FB" w14:textId="77777777" w:rsidR="007E5D84" w:rsidRDefault="007E5D84">
      <w:pPr>
        <w:spacing w:after="200" w:line="276" w:lineRule="auto"/>
        <w:ind w:left="720"/>
        <w:rPr>
          <w:rFonts w:cstheme="minorHAnsi"/>
        </w:rPr>
      </w:pPr>
    </w:p>
    <w:p w14:paraId="062E9EDB" w14:textId="77777777" w:rsidR="007E5D84" w:rsidRDefault="00CE3948">
      <w:pPr>
        <w:numPr>
          <w:ilvl w:val="0"/>
          <w:numId w:val="1"/>
        </w:numPr>
        <w:spacing w:after="200" w:line="276" w:lineRule="auto"/>
        <w:rPr>
          <w:rFonts w:cs="Calibri"/>
          <w:color w:val="5B9BD5"/>
          <w:sz w:val="28"/>
          <w:szCs w:val="28"/>
        </w:rPr>
      </w:pPr>
      <w:bookmarkStart w:id="0" w:name="_Hlk221534647"/>
      <w:r>
        <w:rPr>
          <w:rFonts w:eastAsia="Calibri" w:cs="Calibri"/>
          <w:b/>
          <w:color w:val="5B9BD5"/>
          <w:sz w:val="28"/>
          <w:szCs w:val="28"/>
        </w:rPr>
        <w:t>ROLE et objectifs DU DOO et du DAACL</w:t>
      </w:r>
      <w:bookmarkEnd w:id="0"/>
      <w:r>
        <w:rPr>
          <w:rFonts w:eastAsia="Calibri" w:cs="Calibri"/>
          <w:b/>
          <w:color w:val="5B9BD5"/>
          <w:sz w:val="28"/>
          <w:szCs w:val="28"/>
        </w:rPr>
        <w:t xml:space="preserve"> du SCOT</w:t>
      </w:r>
    </w:p>
    <w:p w14:paraId="4590F3A7" w14:textId="77777777" w:rsidR="007E5D84" w:rsidRDefault="00CE3948">
      <w:pPr>
        <w:spacing w:line="276" w:lineRule="auto"/>
        <w:rPr>
          <w:rFonts w:ascii="Calibri" w:eastAsia="Calibri" w:hAnsi="Calibri" w:cs="Calibri"/>
        </w:rPr>
      </w:pPr>
      <w:r>
        <w:rPr>
          <w:rFonts w:eastAsia="Calibri" w:cs="Calibri"/>
        </w:rPr>
        <w:t>Le DOO privilégie les implantations dans les centralités urbaines et restreint les extensions et créations de surfaces de ventes dans les Secteurs d’Implantations Périphériques (SIP). Le DOO vise prioritairement à :</w:t>
      </w:r>
    </w:p>
    <w:p w14:paraId="64E01B11" w14:textId="77777777" w:rsidR="007E5D84" w:rsidRDefault="00CE3948">
      <w:pPr>
        <w:pStyle w:val="Paragraphedeliste"/>
        <w:numPr>
          <w:ilvl w:val="0"/>
          <w:numId w:val="2"/>
        </w:numPr>
        <w:spacing w:line="276" w:lineRule="auto"/>
        <w:rPr>
          <w:rFonts w:ascii="Calibri" w:eastAsia="Calibri" w:hAnsi="Calibri" w:cs="Calibri"/>
        </w:rPr>
      </w:pPr>
      <w:r>
        <w:rPr>
          <w:rFonts w:eastAsia="Calibri" w:cs="Calibri"/>
        </w:rPr>
        <w:t>Conforter les centralités urbaines pour l’accueil du commerce</w:t>
      </w:r>
    </w:p>
    <w:p w14:paraId="047B4D5F" w14:textId="77777777" w:rsidR="007E5D84" w:rsidRDefault="00CE3948">
      <w:pPr>
        <w:pStyle w:val="Paragraphedeliste"/>
        <w:numPr>
          <w:ilvl w:val="0"/>
          <w:numId w:val="2"/>
        </w:numPr>
        <w:spacing w:line="276" w:lineRule="auto"/>
        <w:rPr>
          <w:rFonts w:ascii="Calibri" w:eastAsia="Calibri" w:hAnsi="Calibri" w:cs="Calibri"/>
        </w:rPr>
      </w:pPr>
      <w:r>
        <w:rPr>
          <w:rFonts w:eastAsia="Calibri" w:cs="Calibri"/>
        </w:rPr>
        <w:t xml:space="preserve">Maîtriser le développement commercial périphérique en encadrant strictement les créations et extensions de surfaces de ventes ; </w:t>
      </w:r>
    </w:p>
    <w:p w14:paraId="0953E219" w14:textId="77777777" w:rsidR="007E5D84" w:rsidRDefault="00CE3948">
      <w:pPr>
        <w:pStyle w:val="Paragraphedeliste"/>
        <w:numPr>
          <w:ilvl w:val="0"/>
          <w:numId w:val="2"/>
        </w:numPr>
        <w:spacing w:line="276" w:lineRule="auto"/>
        <w:rPr>
          <w:rFonts w:ascii="Calibri" w:eastAsia="Calibri" w:hAnsi="Calibri" w:cs="Calibri"/>
        </w:rPr>
      </w:pPr>
      <w:r>
        <w:rPr>
          <w:rFonts w:eastAsia="Calibri" w:cs="Calibri"/>
        </w:rPr>
        <w:t xml:space="preserve">Eviter l’étalement commercial dans le diffus, les conflits d’usages et les implantations opportunités hors SIP. </w:t>
      </w:r>
    </w:p>
    <w:p w14:paraId="72158F7A" w14:textId="33753827" w:rsidR="007E5D84" w:rsidRDefault="00CE3948">
      <w:pPr>
        <w:spacing w:line="276" w:lineRule="auto"/>
        <w:rPr>
          <w:rFonts w:ascii="Calibri" w:eastAsia="Calibri" w:hAnsi="Calibri" w:cs="Calibri"/>
        </w:rPr>
      </w:pPr>
      <w:r>
        <w:rPr>
          <w:rFonts w:eastAsia="Calibri" w:cs="Calibri"/>
        </w:rPr>
        <w:t>Le DAACL précise les orientations et règles applicables aux implantations commerciales en localisant 2 types de</w:t>
      </w:r>
      <w:r w:rsidR="00236207">
        <w:rPr>
          <w:rFonts w:eastAsia="Calibri" w:cs="Calibri"/>
        </w:rPr>
        <w:t xml:space="preserve"> localisations</w:t>
      </w:r>
      <w:r>
        <w:rPr>
          <w:rFonts w:eastAsia="Calibri" w:cs="Calibri"/>
        </w:rPr>
        <w:t xml:space="preserve"> localités : les centralités urbaines et les secteurs d'implantation périphériques (SIP).</w:t>
      </w:r>
    </w:p>
    <w:p w14:paraId="402E3694" w14:textId="1B90F2B1" w:rsidR="007E5D84" w:rsidRDefault="007E5D84">
      <w:pPr>
        <w:spacing w:line="276" w:lineRule="auto"/>
        <w:rPr>
          <w:rFonts w:ascii="Calibri" w:eastAsia="Calibri" w:hAnsi="Calibri" w:cs="Calibri"/>
        </w:rPr>
      </w:pPr>
    </w:p>
    <w:p w14:paraId="319A9B05" w14:textId="4D55236D" w:rsidR="007E5D84" w:rsidRDefault="00CE3948">
      <w:pPr>
        <w:spacing w:line="276" w:lineRule="auto"/>
        <w:rPr>
          <w:rFonts w:ascii="Calibri" w:eastAsia="Calibri" w:hAnsi="Calibri" w:cs="Calibri"/>
        </w:rPr>
      </w:pPr>
      <w:r>
        <w:rPr>
          <w:rFonts w:eastAsia="Calibri" w:cs="Calibri"/>
        </w:rPr>
        <w:t xml:space="preserve">Le DAACL définit les localisations préférentielles au sein desquelles certaines implantations commerciales peuvent être accueillies selon les conditions définies. Il localise et conditionne les implantations commerciales d’importance ayant un impact </w:t>
      </w:r>
      <w:r w:rsidR="009042A9">
        <w:rPr>
          <w:rFonts w:eastAsia="Calibri" w:cs="Calibri"/>
        </w:rPr>
        <w:t>significatif, selon</w:t>
      </w:r>
      <w:r>
        <w:rPr>
          <w:rFonts w:eastAsia="Calibri" w:cs="Calibri"/>
          <w:u w:val="single"/>
        </w:rPr>
        <w:t xml:space="preserve"> des règles quantitatives et spatiales précises</w:t>
      </w:r>
      <w:r>
        <w:rPr>
          <w:rFonts w:eastAsia="Calibri" w:cs="Calibri"/>
        </w:rPr>
        <w:t>.</w:t>
      </w:r>
    </w:p>
    <w:p w14:paraId="45D416C0" w14:textId="77777777" w:rsidR="000603F9" w:rsidRDefault="000603F9">
      <w:pPr>
        <w:spacing w:line="276" w:lineRule="auto"/>
        <w:rPr>
          <w:rFonts w:ascii="Calibri" w:eastAsia="Calibri" w:hAnsi="Calibri" w:cs="Calibri"/>
        </w:rPr>
      </w:pPr>
    </w:p>
    <w:p w14:paraId="1339EF7A" w14:textId="453B752A" w:rsidR="007E5D84" w:rsidRDefault="009A43B0">
      <w:pPr>
        <w:spacing w:line="276" w:lineRule="auto"/>
        <w:rPr>
          <w:rFonts w:ascii="Calibri" w:eastAsia="Calibri" w:hAnsi="Calibri" w:cs="Calibri"/>
        </w:rPr>
      </w:pPr>
      <w:r>
        <w:rPr>
          <w:rFonts w:eastAsia="Calibri" w:cs="Calibri"/>
        </w:rPr>
        <w:t>L</w:t>
      </w:r>
      <w:r w:rsidR="00CE3948">
        <w:rPr>
          <w:rFonts w:eastAsia="Calibri" w:cs="Calibri"/>
        </w:rPr>
        <w:t>e DAACL restreint la création de commerces ou ensembles commerciaux de plus de 1000m² aux seuls SIP</w:t>
      </w:r>
      <w:r w:rsidR="00236207">
        <w:rPr>
          <w:rFonts w:eastAsia="Calibri" w:cs="Calibri"/>
        </w:rPr>
        <w:t xml:space="preserve"> et aux centralités urbaines qu’il localise</w:t>
      </w:r>
      <w:r w:rsidR="00CE3948">
        <w:rPr>
          <w:rFonts w:eastAsia="Calibri" w:cs="Calibri"/>
        </w:rPr>
        <w:t>.</w:t>
      </w:r>
    </w:p>
    <w:p w14:paraId="30A4DAF0" w14:textId="77777777" w:rsidR="007E5D84" w:rsidRDefault="007E5D84">
      <w:pPr>
        <w:spacing w:line="276" w:lineRule="auto"/>
        <w:rPr>
          <w:rFonts w:ascii="Calibri" w:eastAsia="Calibri" w:hAnsi="Calibri" w:cs="Calibri"/>
        </w:rPr>
      </w:pPr>
    </w:p>
    <w:p w14:paraId="3F6FE4D5" w14:textId="28C968FD" w:rsidR="007E5D84" w:rsidRDefault="00CE3948">
      <w:pPr>
        <w:spacing w:line="276" w:lineRule="auto"/>
        <w:rPr>
          <w:rFonts w:ascii="Calibri" w:eastAsia="Calibri" w:hAnsi="Calibri" w:cs="Calibri"/>
        </w:rPr>
      </w:pPr>
      <w:r>
        <w:rPr>
          <w:rFonts w:eastAsia="Calibri" w:cs="Calibri"/>
        </w:rPr>
        <w:t>En dehors des centralités urbaines et des SIP localisés dans le DAACL, seule l’extension de surface de vente d’une unité commerciale est autorisée et limitée à 10% de la surface de vente de l’unité commerciale existante</w:t>
      </w:r>
      <w:r w:rsidR="009A43B0">
        <w:rPr>
          <w:rFonts w:eastAsia="Calibri" w:cs="Calibri"/>
        </w:rPr>
        <w:t>.</w:t>
      </w:r>
    </w:p>
    <w:p w14:paraId="42AA8955" w14:textId="51CD6BD4" w:rsidR="007E5D84" w:rsidRDefault="009A43B0">
      <w:pPr>
        <w:spacing w:line="276" w:lineRule="auto"/>
        <w:rPr>
          <w:rFonts w:ascii="Calibri" w:eastAsia="Calibri" w:hAnsi="Calibri" w:cs="Calibri"/>
        </w:rPr>
      </w:pPr>
      <w:r>
        <w:rPr>
          <w:rFonts w:eastAsia="Calibri" w:cs="Calibri"/>
        </w:rPr>
        <w:t>L</w:t>
      </w:r>
      <w:r w:rsidR="00CE3948">
        <w:rPr>
          <w:rFonts w:eastAsia="Calibri" w:cs="Calibri"/>
        </w:rPr>
        <w:t xml:space="preserve">es possibilités d’implantation et d’extension sont appréciées au regard des prescriptions du DOO du SCOT métropolitain. </w:t>
      </w:r>
    </w:p>
    <w:p w14:paraId="2363666F" w14:textId="77777777" w:rsidR="007E5D84" w:rsidRDefault="007E5D84">
      <w:pPr>
        <w:spacing w:line="276" w:lineRule="auto"/>
        <w:rPr>
          <w:rFonts w:ascii="Calibri" w:eastAsia="Calibri" w:hAnsi="Calibri" w:cs="Calibri"/>
        </w:rPr>
      </w:pPr>
    </w:p>
    <w:p w14:paraId="375D8106" w14:textId="77777777" w:rsidR="007E5D84" w:rsidRDefault="00CE3948">
      <w:pPr>
        <w:spacing w:line="276" w:lineRule="auto"/>
        <w:rPr>
          <w:rFonts w:ascii="Calibri" w:eastAsia="Calibri" w:hAnsi="Calibri" w:cs="Calibri"/>
        </w:rPr>
      </w:pPr>
      <w:r>
        <w:rPr>
          <w:rFonts w:eastAsia="Calibri" w:cs="Calibri"/>
        </w:rPr>
        <w:lastRenderedPageBreak/>
        <w:t xml:space="preserve">La compatibilité d'un projet soumis à CDAC s’apprécie donc au regard des règles écrites du DOO et du DAACL. </w:t>
      </w:r>
    </w:p>
    <w:p w14:paraId="192B8EB6" w14:textId="77777777" w:rsidR="007E5D84" w:rsidRDefault="007E5D84">
      <w:pPr>
        <w:spacing w:after="200" w:line="276" w:lineRule="auto"/>
        <w:ind w:left="360"/>
        <w:rPr>
          <w:rFonts w:ascii="Calibri" w:eastAsia="Calibri" w:hAnsi="Calibri" w:cs="Calibri"/>
          <w:color w:val="5B9BD5"/>
          <w:sz w:val="28"/>
          <w:szCs w:val="28"/>
        </w:rPr>
      </w:pPr>
    </w:p>
    <w:p w14:paraId="370E9331" w14:textId="77777777" w:rsidR="007E5D84" w:rsidRDefault="00CE3948">
      <w:pPr>
        <w:numPr>
          <w:ilvl w:val="0"/>
          <w:numId w:val="1"/>
        </w:numPr>
        <w:spacing w:after="200" w:line="276" w:lineRule="auto"/>
        <w:rPr>
          <w:rFonts w:ascii="Calibri" w:eastAsia="Calibri" w:hAnsi="Calibri" w:cs="Calibri"/>
          <w:color w:val="5B9BD5"/>
          <w:sz w:val="28"/>
          <w:szCs w:val="28"/>
        </w:rPr>
      </w:pPr>
      <w:r>
        <w:rPr>
          <w:rFonts w:eastAsia="Calibri" w:cs="Calibri"/>
          <w:b/>
          <w:color w:val="5B9BD5"/>
          <w:sz w:val="28"/>
          <w:szCs w:val="28"/>
        </w:rPr>
        <w:t>LES MECANISMES d’ENCADREMENT des projets dans les SIP du DAACL</w:t>
      </w:r>
    </w:p>
    <w:p w14:paraId="453185AF" w14:textId="150AB47C" w:rsidR="007E5D84" w:rsidRDefault="00CE3948">
      <w:pPr>
        <w:spacing w:after="200" w:line="276" w:lineRule="auto"/>
        <w:rPr>
          <w:rFonts w:ascii="Calibri" w:eastAsia="Calibri" w:hAnsi="Calibri" w:cs="Calibri"/>
          <w:bCs/>
        </w:rPr>
      </w:pPr>
      <w:r>
        <w:rPr>
          <w:rFonts w:eastAsia="Calibri" w:cs="Calibri"/>
          <w:bCs/>
        </w:rPr>
        <w:t xml:space="preserve">Le DAACL prévoit plusieurs mécanismes d’encadrement des projets, dont l’application dépend de la configuration du SIP concerné. </w:t>
      </w:r>
    </w:p>
    <w:p w14:paraId="17E25DF9" w14:textId="77777777" w:rsidR="007E5D84" w:rsidRDefault="00CE3948">
      <w:pPr>
        <w:spacing w:after="200" w:line="276" w:lineRule="auto"/>
        <w:rPr>
          <w:rFonts w:ascii="Calibri" w:eastAsia="Calibri" w:hAnsi="Calibri" w:cs="Calibri"/>
          <w:bCs/>
        </w:rPr>
      </w:pPr>
      <w:r>
        <w:rPr>
          <w:rFonts w:eastAsia="Calibri" w:cs="Calibri"/>
          <w:bCs/>
        </w:rPr>
        <w:t xml:space="preserve">Ainsi, il existe notamment trois règles cumulatives ou alternatives, selon la configuration du SIP et du projet. </w:t>
      </w:r>
    </w:p>
    <w:p w14:paraId="623BD34D" w14:textId="5647D682" w:rsidR="007E5D84" w:rsidRDefault="00CE3948">
      <w:pPr>
        <w:spacing w:after="200" w:line="276" w:lineRule="auto"/>
        <w:rPr>
          <w:rFonts w:ascii="Calibri" w:eastAsia="Calibri" w:hAnsi="Calibri" w:cs="Calibri"/>
          <w:bCs/>
        </w:rPr>
      </w:pPr>
      <w:r>
        <w:rPr>
          <w:rFonts w:eastAsia="Calibri" w:cs="Calibri"/>
          <w:bCs/>
        </w:rPr>
        <w:t xml:space="preserve">Dans les SIP définis au sein du DAACL, il convient de préciser que les termes « extension » et « création » tels qu’utilisés dans le DAACL, ne doivent pas être </w:t>
      </w:r>
      <w:r w:rsidR="009A43B0">
        <w:rPr>
          <w:rFonts w:eastAsia="Calibri" w:cs="Calibri"/>
          <w:bCs/>
        </w:rPr>
        <w:t>confondus avec</w:t>
      </w:r>
      <w:r>
        <w:rPr>
          <w:rFonts w:eastAsia="Calibri" w:cs="Calibri"/>
          <w:bCs/>
        </w:rPr>
        <w:t xml:space="preserve"> la définition retenue en CDAC au sens du Code de Commerce. Le DAACL induit une analyse territoriale destinée à identifier l'unité commerciale dans laquelle s'insère le projet, notion introduite et non définie par le DAACL.</w:t>
      </w:r>
    </w:p>
    <w:p w14:paraId="2C261381" w14:textId="121DF05A" w:rsidR="007E5D84" w:rsidRDefault="00CE3948">
      <w:pPr>
        <w:spacing w:after="200" w:line="276" w:lineRule="auto"/>
        <w:rPr>
          <w:rFonts w:ascii="Calibri" w:eastAsia="Calibri" w:hAnsi="Calibri" w:cs="Calibri"/>
          <w:bCs/>
        </w:rPr>
      </w:pPr>
      <w:r>
        <w:rPr>
          <w:rFonts w:eastAsia="Calibri" w:cs="Calibri"/>
          <w:bCs/>
        </w:rPr>
        <w:t>Ainsi, constitue une extension au sens du DAACL, tout projet situé dans le périmètre d’une unité commerciale préalablement identifiée, indépendamment de sa qualification juridique en CDAC</w:t>
      </w:r>
      <w:r>
        <w:rPr>
          <w:rStyle w:val="Appelnotedebasdep"/>
          <w:rFonts w:eastAsia="Calibri" w:cs="Calibri"/>
          <w:bCs/>
        </w:rPr>
        <w:footnoteReference w:id="1"/>
      </w:r>
      <w:r>
        <w:rPr>
          <w:rFonts w:eastAsia="Calibri" w:cs="Calibri"/>
          <w:bCs/>
        </w:rPr>
        <w:t xml:space="preserve">.  </w:t>
      </w:r>
    </w:p>
    <w:p w14:paraId="4BC7103B" w14:textId="219A675E" w:rsidR="007E5D84" w:rsidRDefault="00CE3948">
      <w:pPr>
        <w:spacing w:after="200" w:line="276" w:lineRule="auto"/>
        <w:rPr>
          <w:rFonts w:ascii="Calibri" w:eastAsia="Calibri" w:hAnsi="Calibri" w:cs="Calibri"/>
          <w:bCs/>
        </w:rPr>
      </w:pPr>
      <w:r>
        <w:rPr>
          <w:rFonts w:eastAsia="Calibri" w:cs="Calibri"/>
          <w:bCs/>
        </w:rPr>
        <w:t xml:space="preserve">Constitue une création au sens du DAACL, tout projet implanté hors unité commerciale identifiable, au sein d’un SIP. </w:t>
      </w:r>
    </w:p>
    <w:p w14:paraId="2EC69581" w14:textId="79DBAD4C" w:rsidR="007E5D84" w:rsidRDefault="00CE3948">
      <w:pPr>
        <w:spacing w:after="200" w:line="276" w:lineRule="auto"/>
        <w:rPr>
          <w:rFonts w:ascii="Calibri" w:eastAsia="Calibri" w:hAnsi="Calibri" w:cs="Calibri"/>
          <w:bCs/>
        </w:rPr>
      </w:pPr>
      <w:r>
        <w:rPr>
          <w:rFonts w:eastAsia="Calibri" w:cs="Calibri"/>
          <w:bCs/>
        </w:rPr>
        <w:t>Pour l’application des règles bilans (règle</w:t>
      </w:r>
      <w:r w:rsidR="000603F9">
        <w:rPr>
          <w:rFonts w:eastAsia="Calibri" w:cs="Calibri"/>
          <w:bCs/>
        </w:rPr>
        <w:t>s</w:t>
      </w:r>
      <w:r>
        <w:rPr>
          <w:rFonts w:eastAsia="Calibri" w:cs="Calibri"/>
          <w:bCs/>
        </w:rPr>
        <w:t xml:space="preserve"> 2 et 3), la logique de « création » renvoie à toute augmentation de surfaces de vente</w:t>
      </w:r>
      <w:r w:rsidR="000603F9">
        <w:rPr>
          <w:rFonts w:eastAsia="Calibri" w:cs="Calibri"/>
          <w:bCs/>
        </w:rPr>
        <w:t>s</w:t>
      </w:r>
      <w:r>
        <w:rPr>
          <w:rFonts w:eastAsia="Calibri" w:cs="Calibri"/>
          <w:bCs/>
        </w:rPr>
        <w:t xml:space="preserve"> dans le SIP. Le mécanisme de plafond s’analyse comme un outil de régulation territoriale destiné à encadrer l’évolution globale des surfaces commerciales à l’échelle du SIP. </w:t>
      </w:r>
    </w:p>
    <w:p w14:paraId="13624930" w14:textId="77777777" w:rsidR="007E5D84" w:rsidRDefault="007E5D84">
      <w:pPr>
        <w:spacing w:after="200" w:line="276" w:lineRule="auto"/>
        <w:rPr>
          <w:rFonts w:ascii="Calibri" w:eastAsia="Calibri" w:hAnsi="Calibri" w:cs="Calibri"/>
          <w:bCs/>
        </w:rPr>
      </w:pPr>
    </w:p>
    <w:p w14:paraId="3C9E6950" w14:textId="77777777" w:rsidR="007E5D84" w:rsidRDefault="00CE3948">
      <w:pPr>
        <w:spacing w:after="200" w:line="276" w:lineRule="auto"/>
        <w:jc w:val="center"/>
        <w:rPr>
          <w:rFonts w:ascii="Calibri" w:eastAsia="Calibri" w:hAnsi="Calibri" w:cs="Calibri"/>
          <w:bCs/>
        </w:rPr>
      </w:pPr>
      <w:r>
        <w:rPr>
          <w:noProof/>
        </w:rPr>
        <w:drawing>
          <wp:inline distT="0" distB="0" distL="0" distR="0" wp14:anchorId="30BC4198" wp14:editId="412D31C5">
            <wp:extent cx="2994025" cy="1949450"/>
            <wp:effectExtent l="0" t="0" r="0" b="0"/>
            <wp:docPr id="2" name="Diagramm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agramme 1"/>
                    <pic:cNvPicPr>
                      <a:picLocks noChangeAspect="1" noChangeArrowheads="1"/>
                    </pic:cNvPicPr>
                  </pic:nvPicPr>
                  <pic:blipFill>
                    <a:blip r:embed="rId8"/>
                    <a:stretch>
                      <a:fillRect/>
                    </a:stretch>
                  </pic:blipFill>
                  <pic:spPr bwMode="auto">
                    <a:xfrm>
                      <a:off x="0" y="0"/>
                      <a:ext cx="2994025" cy="1949450"/>
                    </a:xfrm>
                    <a:prstGeom prst="rect">
                      <a:avLst/>
                    </a:prstGeom>
                  </pic:spPr>
                </pic:pic>
              </a:graphicData>
            </a:graphic>
          </wp:inline>
        </w:drawing>
      </w:r>
    </w:p>
    <w:tbl>
      <w:tblPr>
        <w:tblStyle w:val="Grilledutableau"/>
        <w:tblW w:w="9062" w:type="dxa"/>
        <w:tblLayout w:type="fixed"/>
        <w:tblLook w:val="04A0" w:firstRow="1" w:lastRow="0" w:firstColumn="1" w:lastColumn="0" w:noHBand="0" w:noVBand="1"/>
      </w:tblPr>
      <w:tblGrid>
        <w:gridCol w:w="1980"/>
        <w:gridCol w:w="7082"/>
      </w:tblGrid>
      <w:tr w:rsidR="007E5D84" w14:paraId="717F9B8C" w14:textId="77777777">
        <w:tc>
          <w:tcPr>
            <w:tcW w:w="1980" w:type="dxa"/>
          </w:tcPr>
          <w:p w14:paraId="243B08B7" w14:textId="77777777" w:rsidR="007E5D84" w:rsidRDefault="00CE3948">
            <w:pPr>
              <w:spacing w:after="200" w:line="276" w:lineRule="auto"/>
              <w:rPr>
                <w:rFonts w:ascii="Calibri" w:eastAsia="Calibri" w:hAnsi="Calibri" w:cs="Calibri"/>
                <w:bCs/>
              </w:rPr>
            </w:pPr>
            <w:r>
              <w:rPr>
                <w:rFonts w:eastAsia="Calibri" w:cs="Calibri"/>
                <w:bCs/>
              </w:rPr>
              <w:lastRenderedPageBreak/>
              <w:t>Règle 1</w:t>
            </w:r>
          </w:p>
        </w:tc>
        <w:tc>
          <w:tcPr>
            <w:tcW w:w="7081" w:type="dxa"/>
          </w:tcPr>
          <w:p w14:paraId="07CA287B" w14:textId="77777777" w:rsidR="007E5D84" w:rsidRDefault="00CE3948">
            <w:pPr>
              <w:spacing w:after="200" w:line="276" w:lineRule="auto"/>
              <w:rPr>
                <w:rFonts w:ascii="Calibri" w:eastAsia="Calibri" w:hAnsi="Calibri" w:cs="Calibri"/>
                <w:bCs/>
              </w:rPr>
            </w:pPr>
            <w:r>
              <w:rPr>
                <w:rFonts w:eastAsia="Calibri" w:cs="Calibri"/>
                <w:bCs/>
              </w:rPr>
              <w:t>L’extension de surface de vente d’une unité commerciale instruite dans le cadre du DAACL est limitée à 10%/ 20% de la surface de vente de l’unité commerciale existante demandant son extension.</w:t>
            </w:r>
          </w:p>
        </w:tc>
      </w:tr>
      <w:tr w:rsidR="007E5D84" w14:paraId="73485EBB" w14:textId="77777777">
        <w:tc>
          <w:tcPr>
            <w:tcW w:w="1980" w:type="dxa"/>
          </w:tcPr>
          <w:p w14:paraId="477F31C9" w14:textId="77777777" w:rsidR="007E5D84" w:rsidRDefault="00CE3948">
            <w:pPr>
              <w:spacing w:after="200" w:line="276" w:lineRule="auto"/>
              <w:rPr>
                <w:rFonts w:ascii="Calibri" w:eastAsia="Calibri" w:hAnsi="Calibri" w:cs="Calibri"/>
                <w:bCs/>
              </w:rPr>
            </w:pPr>
            <w:r>
              <w:rPr>
                <w:rFonts w:eastAsia="Calibri" w:cs="Calibri"/>
                <w:bCs/>
              </w:rPr>
              <w:t>Règle 2</w:t>
            </w:r>
          </w:p>
        </w:tc>
        <w:tc>
          <w:tcPr>
            <w:tcW w:w="7081" w:type="dxa"/>
          </w:tcPr>
          <w:p w14:paraId="75A5C375" w14:textId="01EABDEF" w:rsidR="007E5D84" w:rsidRDefault="00CE3948">
            <w:pPr>
              <w:spacing w:after="200" w:line="276" w:lineRule="auto"/>
              <w:rPr>
                <w:rFonts w:ascii="Calibri" w:eastAsia="Calibri" w:hAnsi="Calibri" w:cs="Calibri"/>
                <w:bCs/>
              </w:rPr>
            </w:pPr>
            <w:r>
              <w:rPr>
                <w:rFonts w:eastAsia="Calibri" w:cs="Calibri"/>
                <w:bCs/>
              </w:rPr>
              <w:t>Le total des créations (ou modifications de destination) de surfaces de vente</w:t>
            </w:r>
            <w:r w:rsidR="000603F9">
              <w:rPr>
                <w:rFonts w:eastAsia="Calibri" w:cs="Calibri"/>
                <w:bCs/>
              </w:rPr>
              <w:t>s</w:t>
            </w:r>
            <w:r>
              <w:rPr>
                <w:rFonts w:eastAsia="Calibri" w:cs="Calibri"/>
                <w:bCs/>
              </w:rPr>
              <w:t xml:space="preserve"> soumises à autorisation devra se situer aux environs de 5% (Plan de Campagne) / 10% / 20% du total estimé des surfaces de vente</w:t>
            </w:r>
            <w:r w:rsidR="000603F9">
              <w:rPr>
                <w:rFonts w:eastAsia="Calibri" w:cs="Calibri"/>
                <w:bCs/>
              </w:rPr>
              <w:t>s</w:t>
            </w:r>
            <w:r>
              <w:rPr>
                <w:rFonts w:eastAsia="Calibri" w:cs="Calibri"/>
                <w:bCs/>
              </w:rPr>
              <w:t xml:space="preserve"> de plus de 1000m² existantes à la date d’approbation du SCOT, toutes typologies confondues.</w:t>
            </w:r>
          </w:p>
        </w:tc>
      </w:tr>
      <w:tr w:rsidR="007E5D84" w14:paraId="313B2327" w14:textId="77777777">
        <w:tc>
          <w:tcPr>
            <w:tcW w:w="1980" w:type="dxa"/>
          </w:tcPr>
          <w:p w14:paraId="3A671642" w14:textId="77777777" w:rsidR="007E5D84" w:rsidRDefault="00CE3948">
            <w:pPr>
              <w:spacing w:after="200" w:line="276" w:lineRule="auto"/>
              <w:rPr>
                <w:rFonts w:ascii="Calibri" w:eastAsia="Calibri" w:hAnsi="Calibri" w:cs="Calibri"/>
                <w:bCs/>
              </w:rPr>
            </w:pPr>
            <w:r>
              <w:rPr>
                <w:rFonts w:eastAsia="Calibri" w:cs="Calibri"/>
                <w:bCs/>
              </w:rPr>
              <w:t>Règle 3</w:t>
            </w:r>
          </w:p>
        </w:tc>
        <w:tc>
          <w:tcPr>
            <w:tcW w:w="7081" w:type="dxa"/>
          </w:tcPr>
          <w:p w14:paraId="1FCDB23A" w14:textId="3827A134" w:rsidR="007E5D84" w:rsidRDefault="00CE3948">
            <w:pPr>
              <w:spacing w:after="200" w:line="276" w:lineRule="auto"/>
              <w:rPr>
                <w:rFonts w:ascii="Calibri" w:eastAsia="Calibri" w:hAnsi="Calibri" w:cs="Calibri"/>
                <w:bCs/>
              </w:rPr>
            </w:pPr>
            <w:r>
              <w:rPr>
                <w:rFonts w:eastAsia="Calibri" w:cs="Calibri"/>
                <w:bCs/>
              </w:rPr>
              <w:t>Lorsque la majorité des commerces existants présente des surfaces de vente</w:t>
            </w:r>
            <w:r w:rsidR="000603F9">
              <w:rPr>
                <w:rFonts w:eastAsia="Calibri" w:cs="Calibri"/>
                <w:bCs/>
              </w:rPr>
              <w:t>s</w:t>
            </w:r>
            <w:r>
              <w:rPr>
                <w:rFonts w:eastAsia="Calibri" w:cs="Calibri"/>
                <w:bCs/>
              </w:rPr>
              <w:t xml:space="preserve"> inférieures à 1000m², la surface de vente maximale des commerces autorisés ne pourra dépasser 25% des surfaces globales d’emprise au sol des commerces situés dans le SIP, à la date d’approbation du SCOT.</w:t>
            </w:r>
          </w:p>
        </w:tc>
      </w:tr>
    </w:tbl>
    <w:p w14:paraId="44C05EF7" w14:textId="77777777" w:rsidR="007E5D84" w:rsidRDefault="00CE3948">
      <w:pPr>
        <w:spacing w:after="200" w:line="276" w:lineRule="auto"/>
        <w:rPr>
          <w:rFonts w:ascii="Calibri" w:eastAsia="Calibri" w:hAnsi="Calibri" w:cs="Calibri"/>
          <w:bCs/>
        </w:rPr>
      </w:pPr>
      <w:r>
        <w:rPr>
          <w:rFonts w:eastAsia="Calibri" w:cs="Calibri"/>
          <w:bCs/>
        </w:rPr>
        <w:t xml:space="preserve">Les taux sont différents suivant la typologie du SIP. </w:t>
      </w:r>
    </w:p>
    <w:p w14:paraId="230814BB" w14:textId="77777777" w:rsidR="007E5D84" w:rsidRDefault="00CE3948">
      <w:pPr>
        <w:spacing w:after="200" w:line="276" w:lineRule="auto"/>
        <w:rPr>
          <w:rFonts w:ascii="Calibri" w:eastAsia="Calibri" w:hAnsi="Calibri" w:cs="Calibri"/>
          <w:b/>
        </w:rPr>
      </w:pPr>
      <w:r>
        <w:rPr>
          <w:rFonts w:eastAsia="Calibri" w:cs="Calibri"/>
          <w:b/>
          <w:u w:val="single"/>
        </w:rPr>
        <w:t>Règle 1</w:t>
      </w:r>
      <w:r>
        <w:rPr>
          <w:rFonts w:eastAsia="Calibri" w:cs="Calibri"/>
          <w:b/>
        </w:rPr>
        <w:t> : Extension d’une unité commerciale existante</w:t>
      </w:r>
    </w:p>
    <w:p w14:paraId="08100C19"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S’applique lorsque le projet est situé au sein d’une unité commerciale existante</w:t>
      </w:r>
    </w:p>
    <w:p w14:paraId="6AACDD77"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L’extension de surface de vente est plafonnée à 10% ou 20% (selon le type de SIP) de la surface de vente totale de l’unité commerciale</w:t>
      </w:r>
    </w:p>
    <w:p w14:paraId="04B91BE4"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 xml:space="preserve">La qualification du projet dépend de la délimitation préalable de l’unité commerciale, notion plus large que l’ensemble commercial au sens du code de commerce. Ainsi, tout projet situé dans le périmètre d’une unité commerciale est qualifié en extension (règle 1). </w:t>
      </w:r>
    </w:p>
    <w:p w14:paraId="4C6F9E65" w14:textId="0F8FEA3C" w:rsidR="007E5D84" w:rsidRPr="007C78B9" w:rsidRDefault="00CE3948">
      <w:pPr>
        <w:pStyle w:val="Paragraphedeliste"/>
        <w:numPr>
          <w:ilvl w:val="0"/>
          <w:numId w:val="2"/>
        </w:numPr>
        <w:spacing w:after="200" w:line="276" w:lineRule="auto"/>
      </w:pPr>
      <w:r w:rsidRPr="007C78B9">
        <w:rPr>
          <w:rFonts w:eastAsia="Calibri" w:cs="Calibri"/>
          <w:bCs/>
        </w:rPr>
        <w:t xml:space="preserve">Si l’ensemble commercial est inclus dans le SIP, alors le périmètre de l’unité commerciale, dans lequel se situe le projet, est à minima l’ensemble commercial (sens Code de </w:t>
      </w:r>
      <w:r w:rsidR="000603F9">
        <w:rPr>
          <w:rFonts w:eastAsia="Calibri" w:cs="Calibri"/>
          <w:bCs/>
        </w:rPr>
        <w:t>C</w:t>
      </w:r>
      <w:r w:rsidR="000603F9" w:rsidRPr="007C78B9">
        <w:rPr>
          <w:rFonts w:eastAsia="Calibri" w:cs="Calibri"/>
          <w:bCs/>
        </w:rPr>
        <w:t>ommerce</w:t>
      </w:r>
      <w:r w:rsidRPr="007C78B9">
        <w:rPr>
          <w:rFonts w:eastAsia="Calibri" w:cs="Calibri"/>
          <w:bCs/>
        </w:rPr>
        <w:t>).</w:t>
      </w:r>
    </w:p>
    <w:p w14:paraId="711C54BE" w14:textId="77777777" w:rsidR="007E5D84" w:rsidRDefault="007E5D84">
      <w:pPr>
        <w:pStyle w:val="Paragraphedeliste"/>
        <w:spacing w:after="200" w:line="276" w:lineRule="auto"/>
        <w:ind w:left="502"/>
        <w:rPr>
          <w:rFonts w:ascii="Calibri" w:eastAsia="Calibri" w:hAnsi="Calibri" w:cs="Calibri"/>
          <w:bCs/>
        </w:rPr>
      </w:pPr>
    </w:p>
    <w:tbl>
      <w:tblPr>
        <w:tblStyle w:val="Grilledutableau"/>
        <w:tblW w:w="9067" w:type="dxa"/>
        <w:tblInd w:w="-5" w:type="dxa"/>
        <w:tblLayout w:type="fixed"/>
        <w:tblLook w:val="04A0" w:firstRow="1" w:lastRow="0" w:firstColumn="1" w:lastColumn="0" w:noHBand="0" w:noVBand="1"/>
      </w:tblPr>
      <w:tblGrid>
        <w:gridCol w:w="9067"/>
      </w:tblGrid>
      <w:tr w:rsidR="007E5D84" w14:paraId="6FF982B0" w14:textId="77777777">
        <w:tc>
          <w:tcPr>
            <w:tcW w:w="9067" w:type="dxa"/>
          </w:tcPr>
          <w:p w14:paraId="66EBE4DF" w14:textId="77777777" w:rsidR="007E5D84" w:rsidRDefault="00CE3948">
            <w:pPr>
              <w:pStyle w:val="Paragraphedeliste"/>
              <w:spacing w:after="200" w:line="276" w:lineRule="auto"/>
              <w:ind w:left="0"/>
              <w:rPr>
                <w:rFonts w:ascii="Calibri" w:eastAsia="Calibri" w:hAnsi="Calibri" w:cs="Calibri"/>
                <w:bCs/>
              </w:rPr>
            </w:pPr>
            <w:r>
              <w:rPr>
                <w:rFonts w:eastAsia="Calibri" w:cs="Calibri"/>
                <w:b/>
              </w:rPr>
              <w:t>Définition de l’unité commerciale</w:t>
            </w:r>
            <w:r>
              <w:rPr>
                <w:rFonts w:eastAsia="Calibri" w:cs="Calibri"/>
                <w:bCs/>
              </w:rPr>
              <w:t> : une unité commerciale se définit comme un ensemble homogène de commerces ou d’ensembles commerciaux proches. Une analyse spatiale doit être effectuée pour caractériser l’emprise de l’unité commerciale.</w:t>
            </w:r>
          </w:p>
          <w:p w14:paraId="02B835ED" w14:textId="77777777" w:rsidR="007E5D84" w:rsidRDefault="00CE3948">
            <w:pPr>
              <w:pStyle w:val="Paragraphedeliste"/>
              <w:spacing w:after="200" w:line="276" w:lineRule="auto"/>
              <w:ind w:left="0"/>
              <w:rPr>
                <w:rFonts w:ascii="Calibri" w:eastAsia="Calibri" w:hAnsi="Calibri" w:cs="Calibri"/>
                <w:bCs/>
              </w:rPr>
            </w:pPr>
            <w:r>
              <w:rPr>
                <w:rFonts w:eastAsia="Calibri" w:cs="Calibri"/>
                <w:bCs/>
              </w:rPr>
              <w:t>La délimitation de l’unité commerciale relève d’une analyse spatiale factuelle.</w:t>
            </w:r>
          </w:p>
        </w:tc>
      </w:tr>
    </w:tbl>
    <w:p w14:paraId="52177F9E" w14:textId="77777777" w:rsidR="007E5D84" w:rsidRDefault="007E5D84">
      <w:pPr>
        <w:pStyle w:val="Paragraphedeliste"/>
        <w:spacing w:after="200" w:line="276" w:lineRule="auto"/>
        <w:rPr>
          <w:rFonts w:ascii="Calibri" w:eastAsia="Calibri" w:hAnsi="Calibri" w:cs="Calibri"/>
          <w:bCs/>
        </w:rPr>
      </w:pPr>
    </w:p>
    <w:p w14:paraId="6A87AD88" w14:textId="77777777" w:rsidR="007E5D84" w:rsidRDefault="00CE3948">
      <w:pPr>
        <w:spacing w:after="200" w:line="276" w:lineRule="auto"/>
        <w:rPr>
          <w:rFonts w:ascii="Calibri" w:eastAsia="Calibri" w:hAnsi="Calibri" w:cs="Calibri"/>
          <w:b/>
        </w:rPr>
      </w:pPr>
      <w:r>
        <w:rPr>
          <w:rFonts w:eastAsia="Calibri" w:cs="Calibri"/>
          <w:b/>
          <w:u w:val="single"/>
        </w:rPr>
        <w:t>Règle 2</w:t>
      </w:r>
      <w:r>
        <w:rPr>
          <w:rFonts w:eastAsia="Calibri" w:cs="Calibri"/>
          <w:bCs/>
        </w:rPr>
        <w:t xml:space="preserve"> : </w:t>
      </w:r>
      <w:r>
        <w:rPr>
          <w:rFonts w:eastAsia="Calibri" w:cs="Calibri"/>
          <w:b/>
        </w:rPr>
        <w:t xml:space="preserve">Plafond global de création de surfaces de ventes lorsque la majorité des commerces ou ensembles commerciaux font plus de 1000 m² de </w:t>
      </w:r>
      <w:proofErr w:type="spellStart"/>
      <w:r>
        <w:rPr>
          <w:rFonts w:eastAsia="Calibri" w:cs="Calibri"/>
          <w:b/>
        </w:rPr>
        <w:t>sdv</w:t>
      </w:r>
      <w:proofErr w:type="spellEnd"/>
    </w:p>
    <w:p w14:paraId="72193224"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Cette règle prévoit un plafond cumulatif de création ou d’extension</w:t>
      </w:r>
    </w:p>
    <w:p w14:paraId="4BA572F5"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 xml:space="preserve">S’applique à l’échelle du SIP, lorsque les commerces ou ensembles commerciaux de plus de 1000m² sont majoritaires. </w:t>
      </w:r>
    </w:p>
    <w:p w14:paraId="2537FFCA" w14:textId="1F19C7E1"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Le cumul des créations et extensions des surfaces de ventes soumises à AEC ne doit pas dépasser un pourcentage (5%, 10% ou 20% selon les cas) des surfaces de vente</w:t>
      </w:r>
      <w:r w:rsidR="000603F9">
        <w:rPr>
          <w:rFonts w:eastAsia="Calibri" w:cs="Calibri"/>
          <w:bCs/>
        </w:rPr>
        <w:t>s</w:t>
      </w:r>
      <w:r>
        <w:rPr>
          <w:rFonts w:eastAsia="Calibri" w:cs="Calibri"/>
          <w:bCs/>
        </w:rPr>
        <w:t xml:space="preserve"> de plus de 1000m² existantes à la date d’approbation du </w:t>
      </w:r>
      <w:proofErr w:type="spellStart"/>
      <w:r>
        <w:rPr>
          <w:rFonts w:eastAsia="Calibri" w:cs="Calibri"/>
          <w:bCs/>
        </w:rPr>
        <w:t>SCOTm</w:t>
      </w:r>
      <w:proofErr w:type="spellEnd"/>
      <w:r>
        <w:rPr>
          <w:rFonts w:eastAsia="Calibri" w:cs="Calibri"/>
          <w:bCs/>
        </w:rPr>
        <w:t xml:space="preserve">. </w:t>
      </w:r>
    </w:p>
    <w:p w14:paraId="705CB99A" w14:textId="1B6893BB"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lastRenderedPageBreak/>
        <w:t>La base de calcul des surfaces de vente</w:t>
      </w:r>
      <w:r w:rsidR="000603F9">
        <w:rPr>
          <w:rFonts w:eastAsia="Calibri" w:cs="Calibri"/>
          <w:bCs/>
        </w:rPr>
        <w:t>s</w:t>
      </w:r>
      <w:r>
        <w:rPr>
          <w:rFonts w:eastAsia="Calibri" w:cs="Calibri"/>
          <w:bCs/>
        </w:rPr>
        <w:t xml:space="preserve"> prend en compte les commerces physiquement présents ou autorisés en AEC, mais non encore réalisés. </w:t>
      </w:r>
    </w:p>
    <w:p w14:paraId="30494541" w14:textId="77777777" w:rsidR="007E5D84" w:rsidRDefault="00CE3948">
      <w:pPr>
        <w:spacing w:after="200" w:line="276" w:lineRule="auto"/>
        <w:ind w:left="360"/>
        <w:rPr>
          <w:rFonts w:ascii="Calibri" w:eastAsia="Calibri" w:hAnsi="Calibri" w:cs="Calibri"/>
          <w:bCs/>
        </w:rPr>
      </w:pPr>
      <w:r>
        <w:rPr>
          <w:rFonts w:eastAsia="Calibri" w:cs="Calibri"/>
          <w:bCs/>
        </w:rPr>
        <w:t xml:space="preserve">Ce plafond constitue une limite maximale cumulative appréciée à l’échelle du SIP, au fur et à mesure des autorisations délivrées. </w:t>
      </w:r>
    </w:p>
    <w:p w14:paraId="05F28F48" w14:textId="77777777" w:rsidR="007E5D84" w:rsidRDefault="007E5D84">
      <w:pPr>
        <w:spacing w:after="200" w:line="276" w:lineRule="auto"/>
        <w:ind w:left="360"/>
        <w:rPr>
          <w:rFonts w:ascii="Calibri" w:eastAsia="Calibri" w:hAnsi="Calibri" w:cs="Calibri"/>
          <w:bCs/>
        </w:rPr>
      </w:pPr>
    </w:p>
    <w:p w14:paraId="456F6744" w14:textId="6D3C3414" w:rsidR="007E5D84" w:rsidRDefault="00CE3948">
      <w:pPr>
        <w:spacing w:after="200" w:line="276" w:lineRule="auto"/>
        <w:ind w:left="360"/>
        <w:rPr>
          <w:rFonts w:ascii="Calibri" w:eastAsia="Calibri" w:hAnsi="Calibri" w:cs="Calibri"/>
          <w:b/>
        </w:rPr>
      </w:pPr>
      <w:r>
        <w:rPr>
          <w:rFonts w:eastAsia="Calibri" w:cs="Calibri"/>
          <w:bCs/>
          <w:u w:val="single"/>
        </w:rPr>
        <w:t>Règle 3</w:t>
      </w:r>
      <w:r>
        <w:rPr>
          <w:rFonts w:eastAsia="Calibri" w:cs="Calibri"/>
          <w:bCs/>
        </w:rPr>
        <w:t xml:space="preserve"> : </w:t>
      </w:r>
      <w:r>
        <w:rPr>
          <w:rFonts w:eastAsia="Calibri" w:cs="Calibri"/>
          <w:b/>
        </w:rPr>
        <w:t xml:space="preserve">Plafond global de création de surfaces globales d’emprise au sol des commerces lorsque la majorité des commerces ou ensembles commerciaux font moins de 1000m² de </w:t>
      </w:r>
      <w:proofErr w:type="spellStart"/>
      <w:r>
        <w:rPr>
          <w:rFonts w:eastAsia="Calibri" w:cs="Calibri"/>
          <w:b/>
        </w:rPr>
        <w:t>sdv</w:t>
      </w:r>
      <w:proofErr w:type="spellEnd"/>
      <w:r>
        <w:rPr>
          <w:rFonts w:eastAsia="Calibri" w:cs="Calibri"/>
          <w:b/>
        </w:rPr>
        <w:t xml:space="preserve"> à l’échelle du SIP</w:t>
      </w:r>
    </w:p>
    <w:p w14:paraId="5DD978B0"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 xml:space="preserve">S’applique ainsi lorsque la majorité des commerces (ou ensemble commerciaux existants) au sein de la SIP font moins de 1000m² au sein de la SIP. </w:t>
      </w:r>
    </w:p>
    <w:p w14:paraId="7AF7E1BC" w14:textId="77777777" w:rsidR="007E5D84" w:rsidRDefault="00CE3948">
      <w:pPr>
        <w:spacing w:after="200" w:line="276" w:lineRule="auto"/>
        <w:rPr>
          <w:rFonts w:ascii="Calibri" w:eastAsia="Calibri" w:hAnsi="Calibri" w:cs="Calibri"/>
          <w:bCs/>
        </w:rPr>
      </w:pPr>
      <w:r>
        <w:rPr>
          <w:rFonts w:eastAsia="Calibri" w:cs="Calibri"/>
          <w:bCs/>
        </w:rPr>
        <w:t xml:space="preserve">L’application des règles 2 et 3 suppose une analyse préalable de la structure commerciale du SIP. </w:t>
      </w:r>
    </w:p>
    <w:tbl>
      <w:tblPr>
        <w:tblStyle w:val="Grilledutableau"/>
        <w:tblW w:w="9062" w:type="dxa"/>
        <w:tblLayout w:type="fixed"/>
        <w:tblLook w:val="04A0" w:firstRow="1" w:lastRow="0" w:firstColumn="1" w:lastColumn="0" w:noHBand="0" w:noVBand="1"/>
      </w:tblPr>
      <w:tblGrid>
        <w:gridCol w:w="9062"/>
      </w:tblGrid>
      <w:tr w:rsidR="007E5D84" w14:paraId="70873ECC" w14:textId="77777777">
        <w:tc>
          <w:tcPr>
            <w:tcW w:w="9062" w:type="dxa"/>
          </w:tcPr>
          <w:p w14:paraId="129BD56C" w14:textId="77777777" w:rsidR="007E5D84" w:rsidRDefault="00CE3948">
            <w:pPr>
              <w:spacing w:after="200" w:line="276" w:lineRule="auto"/>
              <w:rPr>
                <w:rFonts w:ascii="Calibri" w:eastAsia="Calibri" w:hAnsi="Calibri" w:cs="Calibri"/>
                <w:b/>
              </w:rPr>
            </w:pPr>
            <w:r>
              <w:rPr>
                <w:rFonts w:eastAsia="Calibri" w:cs="Calibri"/>
                <w:b/>
              </w:rPr>
              <w:t>Méthode de calcul</w:t>
            </w:r>
          </w:p>
          <w:p w14:paraId="7F5747E7" w14:textId="77777777" w:rsidR="007E5D84" w:rsidRDefault="00CE3948">
            <w:pPr>
              <w:spacing w:after="200" w:line="276" w:lineRule="auto"/>
              <w:rPr>
                <w:rFonts w:ascii="Calibri" w:eastAsia="Calibri" w:hAnsi="Calibri" w:cs="Calibri"/>
                <w:bCs/>
              </w:rPr>
            </w:pPr>
            <w:r>
              <w:rPr>
                <w:rFonts w:eastAsia="Calibri" w:cs="Calibri"/>
                <w:bCs/>
              </w:rPr>
              <w:t>Pour dénombrer les commerces de moins de 1000m² à prendre en compte à l’échelle du SIP, on ne considère que les commerces de moins de 1000m² qui sont isolés ou situés dans un ensemble commercial de moins de 1000m². Ainsi, les commerces de moins de 1000m² situés dans un ensemble commercial de plus de 1000m² ne sont pas comptabilisés.</w:t>
            </w:r>
          </w:p>
          <w:p w14:paraId="526E678C" w14:textId="77777777" w:rsidR="007E5D84" w:rsidRDefault="00CE3948">
            <w:pPr>
              <w:spacing w:after="200" w:line="276" w:lineRule="auto"/>
              <w:rPr>
                <w:rFonts w:ascii="Calibri" w:eastAsia="Calibri" w:hAnsi="Calibri" w:cs="Calibri"/>
                <w:bCs/>
                <w:color w:val="C9211E"/>
              </w:rPr>
            </w:pPr>
            <w:r w:rsidRPr="007C78B9">
              <w:rPr>
                <w:rFonts w:eastAsia="Calibri" w:cs="Calibri"/>
                <w:bCs/>
              </w:rPr>
              <w:t>Dans le cas d’un ensemble commercial de plus de 1 000 m² comprenant plusieurs bâtiments, le nombre de commerces de plus de 1 000 m² à prendre en compte est 1.</w:t>
            </w:r>
          </w:p>
        </w:tc>
      </w:tr>
    </w:tbl>
    <w:p w14:paraId="0F810941" w14:textId="77777777" w:rsidR="007E5D84" w:rsidRDefault="007E5D84">
      <w:pPr>
        <w:spacing w:after="200" w:line="276" w:lineRule="auto"/>
        <w:rPr>
          <w:rFonts w:ascii="Calibri" w:eastAsia="Calibri" w:hAnsi="Calibri" w:cs="Calibri"/>
          <w:bCs/>
        </w:rPr>
      </w:pPr>
    </w:p>
    <w:p w14:paraId="644CC0E0" w14:textId="77777777" w:rsidR="007E5D84" w:rsidRDefault="00CE3948">
      <w:pPr>
        <w:numPr>
          <w:ilvl w:val="0"/>
          <w:numId w:val="1"/>
        </w:numPr>
        <w:spacing w:after="200" w:line="276" w:lineRule="auto"/>
        <w:rPr>
          <w:rFonts w:ascii="Calibri" w:eastAsia="Calibri" w:hAnsi="Calibri" w:cs="Calibri"/>
        </w:rPr>
      </w:pPr>
      <w:r>
        <w:rPr>
          <w:rFonts w:eastAsia="Calibri" w:cs="Calibri"/>
          <w:b/>
          <w:color w:val="5B9BD5"/>
          <w:sz w:val="28"/>
          <w:szCs w:val="28"/>
        </w:rPr>
        <w:t>MISE EN APPLICATION DES REGLES</w:t>
      </w:r>
    </w:p>
    <w:p w14:paraId="6F904F67" w14:textId="77777777" w:rsidR="007E5D84" w:rsidRDefault="00CE3948">
      <w:pPr>
        <w:spacing w:after="200" w:line="276" w:lineRule="auto"/>
        <w:ind w:left="360"/>
        <w:rPr>
          <w:rFonts w:ascii="Calibri" w:eastAsia="Calibri" w:hAnsi="Calibri" w:cs="Calibri"/>
        </w:rPr>
      </w:pPr>
      <w:r>
        <w:rPr>
          <w:rFonts w:eastAsia="Calibri" w:cs="Calibri"/>
        </w:rPr>
        <w:t xml:space="preserve">L’instruction suppose : </w:t>
      </w:r>
    </w:p>
    <w:p w14:paraId="0E431031" w14:textId="77777777" w:rsidR="007E5D84" w:rsidRDefault="00CE3948">
      <w:pPr>
        <w:pStyle w:val="Paragraphedeliste"/>
        <w:numPr>
          <w:ilvl w:val="0"/>
          <w:numId w:val="3"/>
        </w:numPr>
        <w:spacing w:after="200" w:line="276" w:lineRule="auto"/>
        <w:rPr>
          <w:rFonts w:ascii="Calibri" w:eastAsia="Calibri" w:hAnsi="Calibri" w:cs="Calibri"/>
        </w:rPr>
      </w:pPr>
      <w:r>
        <w:rPr>
          <w:rFonts w:eastAsia="Calibri" w:cs="Calibri"/>
        </w:rPr>
        <w:t xml:space="preserve">Identification du SIP concerné par le projet, </w:t>
      </w:r>
    </w:p>
    <w:p w14:paraId="3DD0DF53" w14:textId="39A6D48F" w:rsidR="007E5D84" w:rsidRDefault="00CE3948">
      <w:pPr>
        <w:pStyle w:val="Paragraphedeliste"/>
        <w:numPr>
          <w:ilvl w:val="0"/>
          <w:numId w:val="3"/>
        </w:numPr>
        <w:spacing w:after="200" w:line="276" w:lineRule="auto"/>
        <w:rPr>
          <w:rFonts w:ascii="Calibri" w:eastAsia="Calibri" w:hAnsi="Calibri" w:cs="Calibri"/>
        </w:rPr>
      </w:pPr>
      <w:r>
        <w:rPr>
          <w:rFonts w:eastAsia="Calibri" w:cs="Calibri"/>
        </w:rPr>
        <w:t>La définition et la délimitation préalable de l’unité commerciale pour définir si le projet relève de la règle 1 (extension au sein d’une unité commerciale) ou des règles 2 ou 3 (création de surfaces de vente</w:t>
      </w:r>
      <w:r w:rsidR="000603F9">
        <w:rPr>
          <w:rFonts w:eastAsia="Calibri" w:cs="Calibri"/>
        </w:rPr>
        <w:t>s</w:t>
      </w:r>
      <w:r>
        <w:rPr>
          <w:rFonts w:eastAsia="Calibri" w:cs="Calibri"/>
        </w:rPr>
        <w:t xml:space="preserve"> hors unité commerciale déjà constituée au sein du SIP). </w:t>
      </w:r>
    </w:p>
    <w:p w14:paraId="11143D7C" w14:textId="77777777" w:rsidR="007E5D84" w:rsidRDefault="007E5D84">
      <w:pPr>
        <w:pStyle w:val="Paragraphedeliste"/>
        <w:spacing w:after="200" w:line="276" w:lineRule="auto"/>
        <w:rPr>
          <w:rFonts w:ascii="Calibri" w:eastAsia="Calibri" w:hAnsi="Calibri" w:cs="Calibri"/>
        </w:rPr>
      </w:pPr>
    </w:p>
    <w:p w14:paraId="508778B7" w14:textId="77777777" w:rsidR="007E5D84" w:rsidRDefault="00CE3948">
      <w:pPr>
        <w:pStyle w:val="Paragraphedeliste"/>
        <w:numPr>
          <w:ilvl w:val="0"/>
          <w:numId w:val="3"/>
        </w:numPr>
        <w:spacing w:after="200" w:line="276" w:lineRule="auto"/>
        <w:rPr>
          <w:rFonts w:ascii="Calibri" w:eastAsia="Calibri" w:hAnsi="Calibri" w:cs="Calibri"/>
        </w:rPr>
      </w:pPr>
      <w:r>
        <w:rPr>
          <w:rFonts w:eastAsia="Calibri" w:cs="Calibri"/>
          <w:u w:val="single"/>
        </w:rPr>
        <w:t xml:space="preserve">Pour les extensions de </w:t>
      </w:r>
      <w:proofErr w:type="spellStart"/>
      <w:r>
        <w:rPr>
          <w:rFonts w:eastAsia="Calibri" w:cs="Calibri"/>
          <w:u w:val="single"/>
        </w:rPr>
        <w:t>sdv</w:t>
      </w:r>
      <w:proofErr w:type="spellEnd"/>
      <w:r>
        <w:rPr>
          <w:rFonts w:eastAsia="Calibri" w:cs="Calibri"/>
          <w:u w:val="single"/>
        </w:rPr>
        <w:t xml:space="preserve"> au sein d’une unité commerciale</w:t>
      </w:r>
      <w:r>
        <w:rPr>
          <w:rFonts w:eastAsia="Calibri" w:cs="Calibri"/>
        </w:rPr>
        <w:t xml:space="preserve"> (règle 1)</w:t>
      </w:r>
    </w:p>
    <w:p w14:paraId="782EE6EF" w14:textId="77777777" w:rsidR="007E5D84" w:rsidRDefault="00CE3948">
      <w:pPr>
        <w:pStyle w:val="Paragraphedeliste"/>
        <w:numPr>
          <w:ilvl w:val="0"/>
          <w:numId w:val="4"/>
        </w:numPr>
        <w:spacing w:after="200" w:line="276" w:lineRule="auto"/>
        <w:rPr>
          <w:rFonts w:ascii="Calibri" w:eastAsia="Calibri" w:hAnsi="Calibri" w:cs="Calibri"/>
        </w:rPr>
      </w:pPr>
      <w:r>
        <w:rPr>
          <w:rFonts w:eastAsia="Calibri" w:cs="Calibri"/>
        </w:rPr>
        <w:t xml:space="preserve">Calcul de la </w:t>
      </w:r>
      <w:proofErr w:type="spellStart"/>
      <w:r>
        <w:rPr>
          <w:rFonts w:eastAsia="Calibri" w:cs="Calibri"/>
        </w:rPr>
        <w:t>sdv</w:t>
      </w:r>
      <w:proofErr w:type="spellEnd"/>
      <w:r>
        <w:rPr>
          <w:rFonts w:eastAsia="Calibri" w:cs="Calibri"/>
        </w:rPr>
        <w:t xml:space="preserve"> totale des commerces ayant une activité entrant dans le champ du régime des autorisations d’exploitation commerciale et situées au sein de l’unité commerciale définie. </w:t>
      </w:r>
    </w:p>
    <w:p w14:paraId="3A5E5297" w14:textId="77777777" w:rsidR="007E5D84" w:rsidRDefault="00CE3948">
      <w:pPr>
        <w:pStyle w:val="Paragraphedeliste"/>
        <w:numPr>
          <w:ilvl w:val="0"/>
          <w:numId w:val="4"/>
        </w:numPr>
        <w:spacing w:after="200" w:line="276" w:lineRule="auto"/>
        <w:rPr>
          <w:rFonts w:ascii="Calibri" w:eastAsia="Calibri" w:hAnsi="Calibri" w:cs="Calibri"/>
        </w:rPr>
      </w:pPr>
      <w:r>
        <w:rPr>
          <w:rFonts w:eastAsia="Calibri" w:cs="Calibri"/>
        </w:rPr>
        <w:t xml:space="preserve">Calcul du potentiel de 10% ou 20% de l’extension à l’échelle de l’unité commerciale. </w:t>
      </w:r>
    </w:p>
    <w:p w14:paraId="4F9336C2" w14:textId="77777777" w:rsidR="007E5D84" w:rsidRDefault="00CE3948">
      <w:pPr>
        <w:pStyle w:val="Paragraphedeliste"/>
        <w:numPr>
          <w:ilvl w:val="0"/>
          <w:numId w:val="4"/>
        </w:numPr>
        <w:spacing w:after="200" w:line="276" w:lineRule="auto"/>
        <w:rPr>
          <w:rFonts w:ascii="Calibri" w:eastAsia="Calibri" w:hAnsi="Calibri" w:cs="Calibri"/>
        </w:rPr>
      </w:pPr>
      <w:r>
        <w:rPr>
          <w:rFonts w:eastAsia="Calibri" w:cs="Calibri"/>
        </w:rPr>
        <w:t xml:space="preserve">Vérifier ensuite que le potentiel ne dépasse pas la règle « bilan » (règle 2 ou 3). </w:t>
      </w:r>
    </w:p>
    <w:p w14:paraId="5DA88A64" w14:textId="77777777" w:rsidR="007E5D84" w:rsidRDefault="007E5D84">
      <w:pPr>
        <w:pStyle w:val="Paragraphedeliste"/>
        <w:spacing w:after="200" w:line="276" w:lineRule="auto"/>
        <w:ind w:left="1440"/>
        <w:rPr>
          <w:rFonts w:ascii="Calibri" w:eastAsia="Calibri" w:hAnsi="Calibri" w:cs="Calibri"/>
        </w:rPr>
      </w:pPr>
    </w:p>
    <w:p w14:paraId="25D1F6F8" w14:textId="62467681" w:rsidR="007E5D84" w:rsidRDefault="00CE3948">
      <w:pPr>
        <w:pStyle w:val="Paragraphedeliste"/>
        <w:numPr>
          <w:ilvl w:val="0"/>
          <w:numId w:val="3"/>
        </w:numPr>
        <w:spacing w:after="200" w:line="276" w:lineRule="auto"/>
        <w:rPr>
          <w:rFonts w:ascii="Calibri" w:eastAsia="Calibri" w:hAnsi="Calibri" w:cs="Calibri"/>
        </w:rPr>
      </w:pPr>
      <w:r>
        <w:rPr>
          <w:rFonts w:eastAsia="Calibri" w:cs="Calibri"/>
        </w:rPr>
        <w:t xml:space="preserve">Pour les créations de </w:t>
      </w:r>
      <w:proofErr w:type="spellStart"/>
      <w:r>
        <w:rPr>
          <w:rFonts w:eastAsia="Calibri" w:cs="Calibri"/>
        </w:rPr>
        <w:t>sdv</w:t>
      </w:r>
      <w:proofErr w:type="spellEnd"/>
      <w:r>
        <w:rPr>
          <w:rFonts w:eastAsia="Calibri" w:cs="Calibri"/>
        </w:rPr>
        <w:t xml:space="preserve"> (hors unité commerciale) : application des règles bilan (règle 2 ou 3) :  </w:t>
      </w:r>
    </w:p>
    <w:p w14:paraId="02FC5D5E" w14:textId="77777777" w:rsidR="007E5D84" w:rsidRDefault="00CE3948">
      <w:pPr>
        <w:pStyle w:val="Paragraphedeliste"/>
        <w:numPr>
          <w:ilvl w:val="0"/>
          <w:numId w:val="4"/>
        </w:numPr>
        <w:spacing w:after="200" w:line="276" w:lineRule="auto"/>
        <w:rPr>
          <w:rFonts w:ascii="Calibri" w:eastAsia="Calibri" w:hAnsi="Calibri" w:cs="Calibri"/>
        </w:rPr>
      </w:pPr>
      <w:r>
        <w:rPr>
          <w:rFonts w:eastAsia="Calibri" w:cs="Calibri"/>
        </w:rPr>
        <w:lastRenderedPageBreak/>
        <w:t xml:space="preserve">Calcul du nombre de commerces de + 1000m² et de moins de 1000m² à l’échelle du SIP des commerces (ou ensembles commerciaux) ayant une activité dans le champ du régime des autorisations d’exploitations commerciales </w:t>
      </w:r>
    </w:p>
    <w:p w14:paraId="26968763" w14:textId="77777777" w:rsidR="007E5D84" w:rsidRDefault="00CE3948">
      <w:pPr>
        <w:pStyle w:val="Paragraphedeliste"/>
        <w:numPr>
          <w:ilvl w:val="0"/>
          <w:numId w:val="5"/>
        </w:numPr>
        <w:spacing w:after="200" w:line="276" w:lineRule="auto"/>
        <w:rPr>
          <w:rFonts w:ascii="Calibri" w:eastAsia="Calibri" w:hAnsi="Calibri" w:cs="Calibri"/>
        </w:rPr>
      </w:pPr>
      <w:r>
        <w:rPr>
          <w:rFonts w:eastAsia="Calibri" w:cs="Calibri"/>
        </w:rPr>
        <w:t>Si le nombre de commerces de + 1000m² est supérieur au nombre de commerces de moins de 1000m² :  application de la règle 2</w:t>
      </w:r>
    </w:p>
    <w:p w14:paraId="77D4A932" w14:textId="77777777" w:rsidR="007E5D84" w:rsidRDefault="00CE3948">
      <w:pPr>
        <w:pStyle w:val="Paragraphedeliste"/>
        <w:numPr>
          <w:ilvl w:val="0"/>
          <w:numId w:val="6"/>
        </w:numPr>
        <w:spacing w:after="200" w:line="276" w:lineRule="auto"/>
        <w:rPr>
          <w:rFonts w:ascii="Calibri" w:eastAsia="Calibri" w:hAnsi="Calibri" w:cs="Calibri"/>
        </w:rPr>
      </w:pPr>
      <w:r>
        <w:rPr>
          <w:rFonts w:eastAsia="Calibri" w:cs="Calibri"/>
        </w:rPr>
        <w:t xml:space="preserve">Calcul, à l’échelle du SIP, des </w:t>
      </w:r>
      <w:proofErr w:type="spellStart"/>
      <w:r>
        <w:rPr>
          <w:rFonts w:eastAsia="Calibri" w:cs="Calibri"/>
        </w:rPr>
        <w:t>sdv</w:t>
      </w:r>
      <w:proofErr w:type="spellEnd"/>
      <w:r>
        <w:rPr>
          <w:rFonts w:eastAsia="Calibri" w:cs="Calibri"/>
        </w:rPr>
        <w:t xml:space="preserve"> des commerces (ou ensembles commerciaux) de plus de 1000m² de </w:t>
      </w:r>
      <w:proofErr w:type="spellStart"/>
      <w:r>
        <w:rPr>
          <w:rFonts w:eastAsia="Calibri" w:cs="Calibri"/>
        </w:rPr>
        <w:t>sdv</w:t>
      </w:r>
      <w:proofErr w:type="spellEnd"/>
      <w:r>
        <w:rPr>
          <w:rFonts w:eastAsia="Calibri" w:cs="Calibri"/>
        </w:rPr>
        <w:t xml:space="preserve"> existantes (ou autorisés) à la date d’approbation du SCOT, ayant une activité entrant dans le champ du régime des AEC</w:t>
      </w:r>
    </w:p>
    <w:p w14:paraId="346BD7E7" w14:textId="77777777" w:rsidR="007E5D84" w:rsidRPr="007C78B9" w:rsidRDefault="00CE3948">
      <w:pPr>
        <w:pStyle w:val="Paragraphedeliste"/>
        <w:numPr>
          <w:ilvl w:val="0"/>
          <w:numId w:val="5"/>
        </w:numPr>
        <w:spacing w:after="200" w:line="276" w:lineRule="auto"/>
        <w:rPr>
          <w:rFonts w:ascii="Calibri" w:eastAsia="Calibri" w:hAnsi="Calibri" w:cs="Calibri"/>
        </w:rPr>
      </w:pPr>
      <w:r>
        <w:rPr>
          <w:rFonts w:eastAsia="Calibri" w:cs="Calibri"/>
        </w:rPr>
        <w:t xml:space="preserve">Si le nombre de commerces </w:t>
      </w:r>
      <w:r w:rsidRPr="007C78B9">
        <w:rPr>
          <w:rFonts w:eastAsia="Calibri" w:cs="Calibri"/>
        </w:rPr>
        <w:t>de + de 1 000 m² est inférieur au nombre de commerces de moins de 1 000 m² : application de la règle 3</w:t>
      </w:r>
    </w:p>
    <w:p w14:paraId="284692C2" w14:textId="77777777" w:rsidR="007E5D84" w:rsidRPr="007C78B9" w:rsidRDefault="00CE3948" w:rsidP="007C78B9">
      <w:pPr>
        <w:pStyle w:val="Paragraphedeliste"/>
        <w:numPr>
          <w:ilvl w:val="0"/>
          <w:numId w:val="6"/>
        </w:numPr>
        <w:spacing w:after="200" w:line="276" w:lineRule="auto"/>
        <w:rPr>
          <w:rFonts w:ascii="Calibri" w:eastAsia="Calibri" w:hAnsi="Calibri" w:cs="Calibri"/>
        </w:rPr>
      </w:pPr>
      <w:r w:rsidRPr="007C78B9">
        <w:rPr>
          <w:rFonts w:eastAsia="Calibri" w:cs="Calibri"/>
        </w:rPr>
        <w:t>Calcul, à l’échelle du SIP, de l’emprise au sol des commerces (ou ensembles commerciaux) existants ou autorisés à la date d’approbation du SCOT, ayant une activité entrant dans le champ du régime des AEC</w:t>
      </w:r>
    </w:p>
    <w:p w14:paraId="3678EE26" w14:textId="77777777" w:rsidR="007E5D84" w:rsidRDefault="007E5D84">
      <w:pPr>
        <w:spacing w:after="200" w:line="276" w:lineRule="auto"/>
        <w:rPr>
          <w:rFonts w:ascii="Calibri" w:eastAsia="Calibri" w:hAnsi="Calibri" w:cs="Calibri"/>
        </w:rPr>
      </w:pPr>
    </w:p>
    <w:p w14:paraId="58550131" w14:textId="63BB1497" w:rsidR="007E5D84" w:rsidRDefault="00CE3948">
      <w:pPr>
        <w:numPr>
          <w:ilvl w:val="0"/>
          <w:numId w:val="1"/>
        </w:numPr>
        <w:spacing w:after="200" w:line="276" w:lineRule="auto"/>
        <w:rPr>
          <w:rFonts w:ascii="Calibri" w:eastAsia="Calibri" w:hAnsi="Calibri" w:cs="Calibri"/>
          <w:b/>
          <w:color w:val="5B9BD5"/>
          <w:sz w:val="28"/>
          <w:szCs w:val="28"/>
        </w:rPr>
      </w:pPr>
      <w:r>
        <w:rPr>
          <w:rFonts w:eastAsia="Calibri" w:cs="Calibri"/>
          <w:b/>
          <w:color w:val="5B9BD5"/>
          <w:sz w:val="28"/>
          <w:szCs w:val="28"/>
        </w:rPr>
        <w:t>METHODE DE CALCUL DES SURFACES DE VENTE</w:t>
      </w:r>
      <w:r w:rsidR="000603F9">
        <w:rPr>
          <w:rFonts w:eastAsia="Calibri" w:cs="Calibri"/>
          <w:b/>
          <w:color w:val="5B9BD5"/>
          <w:sz w:val="28"/>
          <w:szCs w:val="28"/>
        </w:rPr>
        <w:t>S</w:t>
      </w:r>
    </w:p>
    <w:p w14:paraId="501BA963" w14:textId="77777777" w:rsidR="007E5D84" w:rsidRDefault="00CE3948">
      <w:pPr>
        <w:spacing w:after="200" w:line="276" w:lineRule="auto"/>
        <w:rPr>
          <w:rFonts w:ascii="Calibri" w:eastAsia="Calibri" w:hAnsi="Calibri" w:cs="Calibri"/>
          <w:bCs/>
        </w:rPr>
      </w:pPr>
      <w:r>
        <w:rPr>
          <w:rFonts w:eastAsia="Calibri" w:cs="Calibri"/>
          <w:bCs/>
        </w:rPr>
        <w:t xml:space="preserve">La méthode de calcul doit être explicitée dans le dossier du pétitionnaire. </w:t>
      </w:r>
    </w:p>
    <w:p w14:paraId="503E2D14" w14:textId="5AF758C1" w:rsidR="007E5D84" w:rsidRDefault="00CE3948">
      <w:pPr>
        <w:spacing w:after="200" w:line="276" w:lineRule="auto"/>
        <w:rPr>
          <w:rFonts w:ascii="Calibri" w:eastAsia="Calibri" w:hAnsi="Calibri" w:cs="Calibri"/>
          <w:bCs/>
        </w:rPr>
      </w:pPr>
      <w:r>
        <w:rPr>
          <w:rFonts w:eastAsia="Calibri" w:cs="Calibri"/>
          <w:bCs/>
        </w:rPr>
        <w:t xml:space="preserve">Si l’ensemble commercial est inclus dans le SIP, alors le périmètre de l’unité commerciale est à minima l’ensemble commercial (sens Code de </w:t>
      </w:r>
      <w:r w:rsidR="000603F9">
        <w:rPr>
          <w:rFonts w:eastAsia="Calibri" w:cs="Calibri"/>
          <w:bCs/>
        </w:rPr>
        <w:t>C</w:t>
      </w:r>
      <w:r w:rsidR="000603F9">
        <w:rPr>
          <w:rFonts w:eastAsia="Calibri" w:cs="Calibri"/>
          <w:bCs/>
        </w:rPr>
        <w:t>ommerce</w:t>
      </w:r>
      <w:r>
        <w:rPr>
          <w:rFonts w:eastAsia="Calibri" w:cs="Calibri"/>
          <w:bCs/>
        </w:rPr>
        <w:t xml:space="preserve">). </w:t>
      </w:r>
    </w:p>
    <w:p w14:paraId="7C544A9A" w14:textId="77777777" w:rsidR="007E5D84" w:rsidRDefault="00CE3948">
      <w:pPr>
        <w:spacing w:after="200" w:line="276" w:lineRule="auto"/>
        <w:rPr>
          <w:rFonts w:eastAsia="Times New Roman"/>
        </w:rPr>
      </w:pPr>
      <w:r>
        <w:rPr>
          <w:rFonts w:eastAsia="Times New Roman"/>
          <w:u w:val="single"/>
        </w:rPr>
        <w:t>Méthode de calcul de la SDV</w:t>
      </w:r>
      <w:r>
        <w:rPr>
          <w:rFonts w:eastAsia="Times New Roman"/>
        </w:rPr>
        <w:t xml:space="preserve">. </w:t>
      </w:r>
    </w:p>
    <w:p w14:paraId="48BEFD31" w14:textId="77777777" w:rsidR="007E5D84" w:rsidRDefault="00CE3948">
      <w:pPr>
        <w:spacing w:after="200" w:line="276" w:lineRule="auto"/>
        <w:rPr>
          <w:rFonts w:eastAsia="Times New Roman"/>
          <w:color w:val="000000"/>
          <w:lang w:eastAsia="fr-FR"/>
        </w:rPr>
      </w:pPr>
      <w:r>
        <w:rPr>
          <w:rFonts w:eastAsia="Times New Roman"/>
          <w:color w:val="000000"/>
          <w:lang w:eastAsia="fr-FR"/>
        </w:rPr>
        <w:t xml:space="preserve">La surface de vente est appréciée conformément aux dispositions du Code de Commerce. </w:t>
      </w:r>
    </w:p>
    <w:p w14:paraId="62041565" w14:textId="77777777" w:rsidR="007E5D84" w:rsidRDefault="00CE3948">
      <w:pPr>
        <w:spacing w:after="200" w:line="276" w:lineRule="auto"/>
        <w:rPr>
          <w:rFonts w:eastAsia="Times New Roman"/>
          <w:color w:val="000000"/>
          <w:lang w:eastAsia="fr-FR"/>
        </w:rPr>
      </w:pPr>
      <w:r>
        <w:rPr>
          <w:rFonts w:eastAsia="Times New Roman"/>
          <w:color w:val="000000"/>
          <w:lang w:eastAsia="fr-FR"/>
        </w:rPr>
        <w:t>La définition règlementaire de la surface de vente comprend les espaces affectés à la circulation de la clientèle pour effectuer ses achats, à l’exposition des marchandises et au paiement.</w:t>
      </w:r>
    </w:p>
    <w:p w14:paraId="51B5A04D" w14:textId="77777777" w:rsidR="007E5D84" w:rsidRDefault="00CE3948">
      <w:pPr>
        <w:spacing w:after="200" w:line="276" w:lineRule="auto"/>
        <w:rPr>
          <w:rFonts w:eastAsia="Times New Roman"/>
          <w:color w:val="000000"/>
          <w:lang w:eastAsia="fr-FR"/>
        </w:rPr>
      </w:pPr>
      <w:r>
        <w:rPr>
          <w:rFonts w:eastAsia="Times New Roman"/>
          <w:color w:val="000000"/>
          <w:lang w:eastAsia="fr-FR"/>
        </w:rPr>
        <w:t xml:space="preserve">La jurisprudence administrative récente est venue préciser l’interprétation de cette définition, notamment s’agissant de l’intégration de certains espaces de circulation. </w:t>
      </w:r>
    </w:p>
    <w:p w14:paraId="3FD3974B" w14:textId="77777777" w:rsidR="007E5D84" w:rsidRPr="00236207" w:rsidRDefault="00CE3948">
      <w:pPr>
        <w:spacing w:line="276" w:lineRule="auto"/>
        <w:rPr>
          <w:rFonts w:ascii="Calibri" w:eastAsia="Calibri" w:hAnsi="Calibri" w:cs="Calibri"/>
          <w:bCs/>
        </w:rPr>
      </w:pPr>
      <w:r w:rsidRPr="00236207">
        <w:rPr>
          <w:rFonts w:eastAsia="Times New Roman"/>
          <w:lang w:eastAsia="fr-FR"/>
        </w:rPr>
        <w:t>Toutefois, pour être compatible avec les orientations du DOO (P203) et favoriser la compacité des projets commerciaux, notamment par la création de parking(s) sous le bâtiment, la surface de vente à prendre en compte dans les trois règles du DAACL est la surface de vente “exposition des produits" comprenant uniquement les trois espaces suivantes :</w:t>
      </w:r>
    </w:p>
    <w:p w14:paraId="335FF29C" w14:textId="77777777" w:rsidR="007E5D84" w:rsidRPr="00236207" w:rsidRDefault="00CE3948">
      <w:pPr>
        <w:numPr>
          <w:ilvl w:val="0"/>
          <w:numId w:val="7"/>
        </w:numPr>
        <w:spacing w:line="276" w:lineRule="auto"/>
      </w:pPr>
      <w:r w:rsidRPr="00236207">
        <w:rPr>
          <w:rFonts w:eastAsia="Calibri" w:cs="Calibri"/>
          <w:bCs/>
          <w:lang w:eastAsia="fr-FR"/>
        </w:rPr>
        <w:t>Surface caisse ;</w:t>
      </w:r>
    </w:p>
    <w:p w14:paraId="02EB26C3" w14:textId="77777777" w:rsidR="007E5D84" w:rsidRPr="00236207" w:rsidRDefault="00CE3948">
      <w:pPr>
        <w:numPr>
          <w:ilvl w:val="0"/>
          <w:numId w:val="7"/>
        </w:numPr>
        <w:spacing w:line="276" w:lineRule="auto"/>
      </w:pPr>
      <w:r w:rsidRPr="00236207">
        <w:rPr>
          <w:rFonts w:eastAsia="Calibri" w:cs="Calibri"/>
          <w:bCs/>
          <w:lang w:eastAsia="fr-FR"/>
        </w:rPr>
        <w:t>Surface allées et arrière caisses ;</w:t>
      </w:r>
    </w:p>
    <w:p w14:paraId="123AC363" w14:textId="77777777" w:rsidR="007E5D84" w:rsidRPr="00236207" w:rsidRDefault="00CE3948">
      <w:pPr>
        <w:numPr>
          <w:ilvl w:val="0"/>
          <w:numId w:val="7"/>
        </w:numPr>
        <w:spacing w:line="276" w:lineRule="auto"/>
        <w:rPr>
          <w:rFonts w:ascii="Calibri" w:eastAsia="Calibri" w:hAnsi="Calibri" w:cs="Calibri"/>
          <w:bCs/>
        </w:rPr>
      </w:pPr>
      <w:r w:rsidRPr="00236207">
        <w:rPr>
          <w:rFonts w:eastAsia="Calibri" w:cs="Calibri"/>
          <w:bCs/>
          <w:lang w:eastAsia="fr-FR"/>
        </w:rPr>
        <w:t>Surface d'exposition.</w:t>
      </w:r>
    </w:p>
    <w:p w14:paraId="73665773" w14:textId="675EAE57" w:rsidR="007E5D84" w:rsidRDefault="00CE3948">
      <w:pPr>
        <w:spacing w:after="200" w:line="276" w:lineRule="auto"/>
        <w:rPr>
          <w:rFonts w:ascii="Calibri" w:eastAsia="Calibri" w:hAnsi="Calibri" w:cs="Calibri"/>
          <w:bCs/>
        </w:rPr>
      </w:pPr>
      <w:r>
        <w:rPr>
          <w:rFonts w:eastAsia="Calibri" w:cs="Calibri"/>
          <w:bCs/>
        </w:rPr>
        <w:t>Quand le parking est en super structure (au-dessus ou en dessous de la surface de vente), les espaces d</w:t>
      </w:r>
      <w:r>
        <w:rPr>
          <w:rFonts w:cs="Calibri"/>
          <w:bCs/>
        </w:rPr>
        <w:t xml:space="preserve">’accès au parking et les SAS d’accès ne sont pas décomptés dans les surfaces de vente. </w:t>
      </w:r>
    </w:p>
    <w:p w14:paraId="3835C73F" w14:textId="365335B2" w:rsidR="007E5D84" w:rsidRDefault="00CE3948">
      <w:pPr>
        <w:spacing w:after="200" w:line="276" w:lineRule="auto"/>
        <w:rPr>
          <w:rFonts w:eastAsia="Times New Roman"/>
          <w:color w:val="C9211E"/>
          <w:lang w:eastAsia="fr-FR"/>
        </w:rPr>
      </w:pPr>
      <w:r>
        <w:rPr>
          <w:rFonts w:eastAsia="Calibri" w:cs="Calibri"/>
          <w:bCs/>
          <w:color w:val="000000"/>
          <w:u w:val="single"/>
          <w:lang w:eastAsia="fr-FR"/>
        </w:rPr>
        <w:lastRenderedPageBreak/>
        <w:t>Dans le cas d’opération de démolition / reconstruction sur la parcelle de projet ou au sein du SIP, la surface de vente à prendre pour le projet dans le cadre du DAACL est le différentiel entre la surface de vente de l’existant et la surface de vente du projet</w:t>
      </w:r>
    </w:p>
    <w:p w14:paraId="02298818" w14:textId="77777777" w:rsidR="007E5D84" w:rsidRDefault="00CE3948">
      <w:pPr>
        <w:numPr>
          <w:ilvl w:val="0"/>
          <w:numId w:val="1"/>
        </w:numPr>
        <w:spacing w:after="200" w:line="276" w:lineRule="auto"/>
        <w:rPr>
          <w:rFonts w:ascii="Calibri" w:eastAsia="Calibri" w:hAnsi="Calibri" w:cs="Calibri"/>
          <w:b/>
          <w:color w:val="5B9BD5"/>
          <w:sz w:val="28"/>
          <w:szCs w:val="28"/>
        </w:rPr>
      </w:pPr>
      <w:r>
        <w:rPr>
          <w:rFonts w:eastAsia="Calibri" w:cs="Calibri"/>
          <w:b/>
          <w:color w:val="5B9BD5"/>
          <w:sz w:val="28"/>
          <w:szCs w:val="28"/>
        </w:rPr>
        <w:t>MODUS OPERANDI</w:t>
      </w:r>
    </w:p>
    <w:p w14:paraId="0E56A9C8" w14:textId="77777777" w:rsidR="007E5D84" w:rsidRDefault="00CE3948">
      <w:pPr>
        <w:spacing w:after="200" w:line="276" w:lineRule="auto"/>
        <w:rPr>
          <w:rFonts w:ascii="Calibri" w:eastAsia="Calibri" w:hAnsi="Calibri" w:cs="Calibri"/>
          <w:bCs/>
        </w:rPr>
      </w:pPr>
      <w:r>
        <w:rPr>
          <w:rFonts w:eastAsia="Calibri" w:cs="Calibri"/>
          <w:bCs/>
        </w:rPr>
        <w:t xml:space="preserve">Le pétitionnaire doit justifier la compatibilité de son projet avec le DAACL dans son dossier CDAC. </w:t>
      </w:r>
    </w:p>
    <w:p w14:paraId="2DBC25D1"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Démontrer, par des calculs et une analyse spatiale, le respect des règles du DAACL</w:t>
      </w:r>
    </w:p>
    <w:p w14:paraId="26038A56" w14:textId="77777777" w:rsidR="007E5D84" w:rsidRDefault="00CE3948">
      <w:pPr>
        <w:pStyle w:val="Paragraphedeliste"/>
        <w:numPr>
          <w:ilvl w:val="0"/>
          <w:numId w:val="2"/>
        </w:numPr>
        <w:spacing w:after="200" w:line="276" w:lineRule="auto"/>
        <w:rPr>
          <w:rFonts w:ascii="Calibri" w:eastAsia="Calibri" w:hAnsi="Calibri" w:cs="Calibri"/>
          <w:bCs/>
        </w:rPr>
      </w:pPr>
      <w:r>
        <w:rPr>
          <w:rFonts w:eastAsia="Calibri" w:cs="Calibri"/>
          <w:bCs/>
        </w:rPr>
        <w:t xml:space="preserve">Expliciter l’échelle d’analyse pertinente (unité commerciale et/ ou SIP). </w:t>
      </w:r>
    </w:p>
    <w:p w14:paraId="70DEBCB0" w14:textId="77777777" w:rsidR="007E5D84" w:rsidRDefault="00CE3948">
      <w:pPr>
        <w:spacing w:after="200" w:line="276" w:lineRule="auto"/>
        <w:rPr>
          <w:rFonts w:ascii="Calibri" w:eastAsia="Calibri" w:hAnsi="Calibri" w:cs="Calibri"/>
          <w:bCs/>
        </w:rPr>
      </w:pPr>
      <w:r>
        <w:rPr>
          <w:rFonts w:eastAsia="Calibri" w:cs="Calibri"/>
          <w:bCs/>
        </w:rPr>
        <w:t xml:space="preserve">Ainsi, le dossier doit permettre à la commission d’apprécier la compatibilité. </w:t>
      </w:r>
    </w:p>
    <w:p w14:paraId="2BF995AA" w14:textId="77777777" w:rsidR="007E5D84" w:rsidRDefault="00CE3948">
      <w:pPr>
        <w:spacing w:after="200" w:line="276" w:lineRule="auto"/>
        <w:rPr>
          <w:rFonts w:ascii="Calibri" w:eastAsia="Calibri" w:hAnsi="Calibri" w:cs="Calibri"/>
          <w:bCs/>
        </w:rPr>
      </w:pPr>
      <w:r>
        <w:rPr>
          <w:rFonts w:eastAsia="Calibri" w:cs="Calibri"/>
          <w:bCs/>
        </w:rPr>
        <w:t xml:space="preserve">L’instruction des projets demeure fondée sur une appréciation au cas par cas par la CDAC, laquelle conserve son pouvoir d’appréciation au regard de l’ensemble des critères fixés par le Code de Commerce. </w:t>
      </w:r>
    </w:p>
    <w:p w14:paraId="20EF59A0" w14:textId="77777777" w:rsidR="007E5D84" w:rsidRDefault="00CE3948">
      <w:pPr>
        <w:spacing w:after="200" w:line="276" w:lineRule="auto"/>
        <w:rPr>
          <w:rFonts w:ascii="Calibri" w:eastAsia="Calibri" w:hAnsi="Calibri" w:cs="Calibri"/>
          <w:bCs/>
        </w:rPr>
      </w:pPr>
      <w:r>
        <w:rPr>
          <w:rFonts w:eastAsia="Calibri" w:cs="Calibri"/>
          <w:bCs/>
        </w:rPr>
        <w:t xml:space="preserve">Les mécanismes décrits dans la présente note visent à expliciter les modalités d’analyse de la compatibilité avec le Scot métropolitain d’Aix Marseille Provence, sans préjuger de la décision finale de la commission. </w:t>
      </w:r>
    </w:p>
    <w:sectPr w:rsidR="007E5D84">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708"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C6FA1F" w14:textId="77777777" w:rsidR="006E36B3" w:rsidRDefault="00CE3948">
      <w:r>
        <w:separator/>
      </w:r>
    </w:p>
  </w:endnote>
  <w:endnote w:type="continuationSeparator" w:id="0">
    <w:p w14:paraId="07E5D591" w14:textId="77777777" w:rsidR="006E36B3" w:rsidRDefault="00CE39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Arial Unicode MS"/>
    <w:panose1 w:val="05010000000000000000"/>
    <w:charset w:val="01"/>
    <w:family w:val="auto"/>
    <w:pitch w:val="variable"/>
    <w:sig w:usb0="800000AF" w:usb1="1001ECEA" w:usb2="00000000" w:usb3="00000000" w:csb0="80000001" w:csb1="00000000"/>
  </w:font>
  <w:font w:name="Calibri Light">
    <w:panose1 w:val="020F0302020204030204"/>
    <w:charset w:val="00"/>
    <w:family w:val="swiss"/>
    <w:pitch w:val="variable"/>
    <w:sig w:usb0="A00002EF" w:usb1="4000207B" w:usb2="00000000" w:usb3="00000000" w:csb0="0000009F" w:csb1="00000000"/>
  </w:font>
  <w:font w:name="Marianne">
    <w:altName w:val="Calibri"/>
    <w:charset w:val="01"/>
    <w:family w:val="auto"/>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AFF" w:usb1="C0007843" w:usb2="00000009" w:usb3="00000000" w:csb0="000001FF" w:csb1="00000000"/>
  </w:font>
  <w:font w:name="Liberation Serif">
    <w:panose1 w:val="02020603050405020304"/>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Gadugi">
    <w:panose1 w:val="020B0502040204020203"/>
    <w:charset w:val="00"/>
    <w:family w:val="swiss"/>
    <w:pitch w:val="variable"/>
    <w:sig w:usb0="80000003" w:usb1="02000000" w:usb2="00003000" w:usb3="00000000" w:csb0="00000001" w:csb1="00000000"/>
  </w:font>
  <w:font w:name="HelveticaNeueLTStd-Md">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A2E786" w14:textId="77777777" w:rsidR="007E5D84" w:rsidRDefault="007E5D84">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2529353"/>
      <w:docPartObj>
        <w:docPartGallery w:val="Page Numbers (Bottom of Page)"/>
        <w:docPartUnique/>
      </w:docPartObj>
    </w:sdtPr>
    <w:sdtEndPr/>
    <w:sdtContent>
      <w:p w14:paraId="5CFE0D1D" w14:textId="77777777" w:rsidR="007E5D84" w:rsidRDefault="00CE3948">
        <w:pPr>
          <w:pStyle w:val="Pieddepage"/>
          <w:jc w:val="right"/>
        </w:pPr>
        <w:r>
          <w:fldChar w:fldCharType="begin"/>
        </w:r>
        <w:r>
          <w:instrText xml:space="preserve"> PAGE </w:instrText>
        </w:r>
        <w:r>
          <w:fldChar w:fldCharType="separate"/>
        </w:r>
        <w:r>
          <w:t>7</w:t>
        </w:r>
        <w:r>
          <w:fldChar w:fldCharType="end"/>
        </w:r>
      </w:p>
    </w:sdtContent>
  </w:sdt>
  <w:p w14:paraId="194A02C1" w14:textId="77777777" w:rsidR="007E5D84" w:rsidRDefault="007E5D84">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0413825"/>
      <w:docPartObj>
        <w:docPartGallery w:val="Page Numbers (Bottom of Page)"/>
        <w:docPartUnique/>
      </w:docPartObj>
    </w:sdtPr>
    <w:sdtEndPr/>
    <w:sdtContent>
      <w:p w14:paraId="2786E7B1" w14:textId="77777777" w:rsidR="007E5D84" w:rsidRDefault="00CE3948">
        <w:pPr>
          <w:pStyle w:val="Pieddepage"/>
          <w:jc w:val="right"/>
        </w:pPr>
        <w:r>
          <w:fldChar w:fldCharType="begin"/>
        </w:r>
        <w:r>
          <w:instrText xml:space="preserve"> PAGE </w:instrText>
        </w:r>
        <w:r>
          <w:fldChar w:fldCharType="separate"/>
        </w:r>
        <w:r>
          <w:t>7</w:t>
        </w:r>
        <w:r>
          <w:fldChar w:fldCharType="end"/>
        </w:r>
      </w:p>
    </w:sdtContent>
  </w:sdt>
  <w:p w14:paraId="7D7334CF" w14:textId="77777777" w:rsidR="007E5D84" w:rsidRDefault="007E5D8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DB2C54" w14:textId="77777777" w:rsidR="007E5D84" w:rsidRDefault="00CE3948">
      <w:pPr>
        <w:rPr>
          <w:sz w:val="12"/>
        </w:rPr>
      </w:pPr>
      <w:r>
        <w:separator/>
      </w:r>
    </w:p>
  </w:footnote>
  <w:footnote w:type="continuationSeparator" w:id="0">
    <w:p w14:paraId="3204C8B7" w14:textId="77777777" w:rsidR="007E5D84" w:rsidRDefault="00CE3948">
      <w:pPr>
        <w:rPr>
          <w:sz w:val="12"/>
        </w:rPr>
      </w:pPr>
      <w:r>
        <w:continuationSeparator/>
      </w:r>
    </w:p>
  </w:footnote>
  <w:footnote w:id="1">
    <w:p w14:paraId="7822F301" w14:textId="77777777" w:rsidR="007E5D84" w:rsidRDefault="00CE3948">
      <w:pPr>
        <w:pStyle w:val="Notedebasdepage"/>
      </w:pPr>
      <w:r>
        <w:rPr>
          <w:rStyle w:val="Caractresdenotedebasdepage"/>
        </w:rPr>
        <w:footnoteRef/>
      </w:r>
      <w:r>
        <w:t xml:space="preserve"> Ainsi, un projet juridiquement qualifié de « création » en CDAC » peut être analysé comme une extension au sens du DAACL s’il s’inscrit dans le périmètre d’une unité commerciale identifiée par analyse spatiale ;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C0647" w14:textId="77777777" w:rsidR="007E5D84" w:rsidRDefault="007E5D84">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FE08E" w14:textId="77777777" w:rsidR="007E5D84" w:rsidRDefault="00CE3948">
    <w:pPr>
      <w:pStyle w:val="En-tte"/>
    </w:pPr>
    <w:r>
      <w:rPr>
        <w:noProof/>
      </w:rPr>
      <mc:AlternateContent>
        <mc:Choice Requires="wps">
          <w:drawing>
            <wp:anchor distT="0" distB="0" distL="0" distR="0" simplePos="0" relativeHeight="251657216" behindDoc="1" locked="0" layoutInCell="1" allowOverlap="1" wp14:anchorId="23F876E2" wp14:editId="0DF56F22">
              <wp:simplePos x="0" y="0"/>
              <wp:positionH relativeFrom="column">
                <wp:posOffset>1865630</wp:posOffset>
              </wp:positionH>
              <wp:positionV relativeFrom="paragraph">
                <wp:posOffset>-136525</wp:posOffset>
              </wp:positionV>
              <wp:extent cx="4500880" cy="1104900"/>
              <wp:effectExtent l="0" t="0" r="0" b="0"/>
              <wp:wrapNone/>
              <wp:docPr id="3" name="Zone de texte 3"/>
              <wp:cNvGraphicFramePr/>
              <a:graphic xmlns:a="http://schemas.openxmlformats.org/drawingml/2006/main">
                <a:graphicData uri="http://schemas.microsoft.com/office/word/2010/wordprocessingShape">
                  <wps:wsp>
                    <wps:cNvSpPr/>
                    <wps:spPr>
                      <a:xfrm>
                        <a:off x="0" y="0"/>
                        <a:ext cx="4500720" cy="1104840"/>
                      </a:xfrm>
                      <a:prstGeom prst="rect">
                        <a:avLst/>
                      </a:prstGeom>
                      <a:noFill/>
                      <a:ln w="0">
                        <a:noFill/>
                      </a:ln>
                    </wps:spPr>
                    <wps:style>
                      <a:lnRef idx="0">
                        <a:scrgbClr r="0" g="0" b="0"/>
                      </a:lnRef>
                      <a:fillRef idx="0">
                        <a:scrgbClr r="0" g="0" b="0"/>
                      </a:fillRef>
                      <a:effectRef idx="0">
                        <a:scrgbClr r="0" g="0" b="0"/>
                      </a:effectRef>
                      <a:fontRef idx="minor"/>
                    </wps:style>
                    <wps:txbx>
                      <w:txbxContent>
                        <w:p w14:paraId="1827A00E" w14:textId="77777777" w:rsidR="007E5D84" w:rsidRDefault="007E5D84">
                          <w:pPr>
                            <w:pStyle w:val="Contenudecadre"/>
                            <w:jc w:val="right"/>
                            <w:rPr>
                              <w:rFonts w:eastAsia="HelveticaNeueLTStd-Md" w:cs="Times New Roman"/>
                              <w:b/>
                              <w:color w:val="000000"/>
                              <w:sz w:val="16"/>
                            </w:rPr>
                          </w:pPr>
                        </w:p>
                        <w:p w14:paraId="43340909"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Direction Générale Déléguée</w:t>
                          </w:r>
                        </w:p>
                        <w:p w14:paraId="3E4B70D7"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 xml:space="preserve">Développement Economique, Innovation, </w:t>
                          </w:r>
                        </w:p>
                        <w:p w14:paraId="6F34C863"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Attractivité et Relations Internationales</w:t>
                          </w:r>
                        </w:p>
                        <w:p w14:paraId="56F86776" w14:textId="77777777" w:rsidR="007E5D84" w:rsidRDefault="007E5D84">
                          <w:pPr>
                            <w:pStyle w:val="Contenudecadre"/>
                            <w:rPr>
                              <w:rFonts w:ascii="Century Gothic" w:eastAsia="HelveticaNeueLTStd-Md" w:hAnsi="Century Gothic" w:cs="Times New Roman"/>
                              <w:b/>
                              <w:color w:val="000000"/>
                              <w:sz w:val="12"/>
                            </w:rPr>
                          </w:pPr>
                        </w:p>
                        <w:p w14:paraId="12A6107B" w14:textId="77777777" w:rsidR="007E5D84" w:rsidRDefault="007E5D84">
                          <w:pPr>
                            <w:pStyle w:val="Contenudecadre"/>
                            <w:jc w:val="center"/>
                            <w:rPr>
                              <w:rFonts w:ascii="Century Gothic" w:eastAsia="HelveticaNeueLTStd-Md" w:hAnsi="Century Gothic" w:cstheme="minorHAnsi"/>
                              <w:b/>
                            </w:rPr>
                          </w:pPr>
                        </w:p>
                      </w:txbxContent>
                    </wps:txbx>
                    <wps:bodyPr anchor="t" upright="1">
                      <a:noAutofit/>
                    </wps:bodyPr>
                  </wps:wsp>
                </a:graphicData>
              </a:graphic>
            </wp:anchor>
          </w:drawing>
        </mc:Choice>
        <mc:Fallback>
          <w:pict>
            <v:rect w14:anchorId="23F876E2" id="Zone de texte 3" o:spid="_x0000_s1027" style="position:absolute;left:0;text-align:left;margin-left:146.9pt;margin-top:-10.75pt;width:354.4pt;height:87pt;z-index:-251659264;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" filled="f" stroked="f" strokeweight="0">
              <v:textbox>
                <w:txbxContent>
                  <w:p w14:paraId="1827A00E" w14:textId="77777777" w:rsidR="007E5D84" w:rsidRDefault="007E5D84">
                    <w:pPr>
                      <w:pStyle w:val="Contenudecadre"/>
                      <w:jc w:val="right"/>
                      <w:rPr>
                        <w:rFonts w:eastAsia="HelveticaNeueLTStd-Md" w:cs="Times New Roman"/>
                        <w:b/>
                        <w:color w:val="000000"/>
                        <w:sz w:val="16"/>
                      </w:rPr>
                    </w:pPr>
                  </w:p>
                  <w:p w14:paraId="43340909"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Direction Générale Déléguée</w:t>
                    </w:r>
                  </w:p>
                  <w:p w14:paraId="3E4B70D7"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 xml:space="preserve">Développement Economique, Innovation, </w:t>
                    </w:r>
                  </w:p>
                  <w:p w14:paraId="6F34C863"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Attractivité et Relations Internationales</w:t>
                    </w:r>
                  </w:p>
                  <w:p w14:paraId="56F86776" w14:textId="77777777" w:rsidR="007E5D84" w:rsidRDefault="007E5D84">
                    <w:pPr>
                      <w:pStyle w:val="Contenudecadre"/>
                      <w:rPr>
                        <w:rFonts w:ascii="Century Gothic" w:eastAsia="HelveticaNeueLTStd-Md" w:hAnsi="Century Gothic" w:cs="Times New Roman"/>
                        <w:b/>
                        <w:color w:val="000000"/>
                        <w:sz w:val="12"/>
                      </w:rPr>
                    </w:pPr>
                  </w:p>
                  <w:p w14:paraId="12A6107B" w14:textId="77777777" w:rsidR="007E5D84" w:rsidRDefault="007E5D84">
                    <w:pPr>
                      <w:pStyle w:val="Contenudecadre"/>
                      <w:jc w:val="center"/>
                      <w:rPr>
                        <w:rFonts w:ascii="Century Gothic" w:eastAsia="HelveticaNeueLTStd-Md" w:hAnsi="Century Gothic" w:cstheme="minorHAnsi"/>
                        <w:b/>
                      </w:rPr>
                    </w:pPr>
                  </w:p>
                </w:txbxContent>
              </v:textbox>
            </v:rect>
          </w:pict>
        </mc:Fallback>
      </mc:AlternateContent>
    </w:r>
    <w:r>
      <w:rPr>
        <w:noProof/>
      </w:rPr>
      <w:drawing>
        <wp:inline distT="0" distB="0" distL="0" distR="0" wp14:anchorId="1BB51337" wp14:editId="0CAEF0BD">
          <wp:extent cx="1533525" cy="922020"/>
          <wp:effectExtent l="0" t="0" r="0" b="0"/>
          <wp:docPr id="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pic:cNvPicPr>
                    <a:picLocks noChangeAspect="1" noChangeArrowheads="1"/>
                  </pic:cNvPicPr>
                </pic:nvPicPr>
                <pic:blipFill>
                  <a:blip r:embed="rId1"/>
                  <a:stretch>
                    <a:fillRect/>
                  </a:stretch>
                </pic:blipFill>
                <pic:spPr bwMode="auto">
                  <a:xfrm>
                    <a:off x="0" y="0"/>
                    <a:ext cx="1533525" cy="922020"/>
                  </a:xfrm>
                  <a:prstGeom prst="rect">
                    <a:avLst/>
                  </a:prstGeom>
                </pic:spPr>
              </pic:pic>
            </a:graphicData>
          </a:graphic>
        </wp:inline>
      </w:drawing>
    </w:r>
    <w:r>
      <w:rPr>
        <w:rFonts w:cs="Times New Roman"/>
        <w:lang w:eastAsia="fr-FR"/>
      </w:rPr>
      <w:t xml:space="preserve"> </w:t>
    </w:r>
  </w:p>
  <w:p w14:paraId="1C76B49A" w14:textId="77777777" w:rsidR="007E5D84" w:rsidRDefault="007E5D84">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54923" w14:textId="77777777" w:rsidR="007E5D84" w:rsidRDefault="00CE3948">
    <w:pPr>
      <w:pStyle w:val="En-tte"/>
    </w:pPr>
    <w:r>
      <w:rPr>
        <w:noProof/>
      </w:rPr>
      <mc:AlternateContent>
        <mc:Choice Requires="wps">
          <w:drawing>
            <wp:anchor distT="0" distB="0" distL="0" distR="0" simplePos="0" relativeHeight="251658240" behindDoc="1" locked="0" layoutInCell="1" allowOverlap="1" wp14:anchorId="2E562847" wp14:editId="3A53E650">
              <wp:simplePos x="0" y="0"/>
              <wp:positionH relativeFrom="column">
                <wp:posOffset>1865630</wp:posOffset>
              </wp:positionH>
              <wp:positionV relativeFrom="paragraph">
                <wp:posOffset>-136525</wp:posOffset>
              </wp:positionV>
              <wp:extent cx="4500880" cy="1104900"/>
              <wp:effectExtent l="0" t="0" r="0" b="0"/>
              <wp:wrapNone/>
              <wp:docPr id="5" name="Zone de texte 3"/>
              <wp:cNvGraphicFramePr/>
              <a:graphic xmlns:a="http://schemas.openxmlformats.org/drawingml/2006/main">
                <a:graphicData uri="http://schemas.microsoft.com/office/word/2010/wordprocessingShape">
                  <wps:wsp>
                    <wps:cNvSpPr/>
                    <wps:spPr>
                      <a:xfrm>
                        <a:off x="0" y="0"/>
                        <a:ext cx="4500720" cy="1104840"/>
                      </a:xfrm>
                      <a:prstGeom prst="rect">
                        <a:avLst/>
                      </a:prstGeom>
                      <a:noFill/>
                      <a:ln w="0">
                        <a:noFill/>
                      </a:ln>
                    </wps:spPr>
                    <wps:style>
                      <a:lnRef idx="0">
                        <a:scrgbClr r="0" g="0" b="0"/>
                      </a:lnRef>
                      <a:fillRef idx="0">
                        <a:scrgbClr r="0" g="0" b="0"/>
                      </a:fillRef>
                      <a:effectRef idx="0">
                        <a:scrgbClr r="0" g="0" b="0"/>
                      </a:effectRef>
                      <a:fontRef idx="minor"/>
                    </wps:style>
                    <wps:txbx>
                      <w:txbxContent>
                        <w:p w14:paraId="45B75D00" w14:textId="77777777" w:rsidR="007E5D84" w:rsidRDefault="007E5D84">
                          <w:pPr>
                            <w:pStyle w:val="Contenudecadre"/>
                            <w:jc w:val="right"/>
                            <w:rPr>
                              <w:rFonts w:eastAsia="HelveticaNeueLTStd-Md" w:cs="Times New Roman"/>
                              <w:b/>
                              <w:color w:val="000000"/>
                              <w:sz w:val="16"/>
                            </w:rPr>
                          </w:pPr>
                        </w:p>
                        <w:p w14:paraId="2677B400"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Direction Générale Déléguée</w:t>
                          </w:r>
                        </w:p>
                        <w:p w14:paraId="59412629"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 xml:space="preserve">Développement Economique, Innovation, </w:t>
                          </w:r>
                        </w:p>
                        <w:p w14:paraId="3361DBA5"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Attractivité et Relations Internationales</w:t>
                          </w:r>
                        </w:p>
                        <w:p w14:paraId="4C34203C" w14:textId="77777777" w:rsidR="007E5D84" w:rsidRDefault="007E5D84">
                          <w:pPr>
                            <w:pStyle w:val="Contenudecadre"/>
                            <w:rPr>
                              <w:rFonts w:ascii="Century Gothic" w:eastAsia="HelveticaNeueLTStd-Md" w:hAnsi="Century Gothic" w:cs="Times New Roman"/>
                              <w:b/>
                              <w:color w:val="000000"/>
                              <w:sz w:val="12"/>
                            </w:rPr>
                          </w:pPr>
                        </w:p>
                        <w:p w14:paraId="06C568BB" w14:textId="77777777" w:rsidR="007E5D84" w:rsidRDefault="007E5D84">
                          <w:pPr>
                            <w:pStyle w:val="Contenudecadre"/>
                            <w:jc w:val="center"/>
                            <w:rPr>
                              <w:rFonts w:ascii="Century Gothic" w:eastAsia="HelveticaNeueLTStd-Md" w:hAnsi="Century Gothic" w:cstheme="minorHAnsi"/>
                              <w:b/>
                            </w:rPr>
                          </w:pPr>
                        </w:p>
                      </w:txbxContent>
                    </wps:txbx>
                    <wps:bodyPr anchor="t" upright="1">
                      <a:noAutofit/>
                    </wps:bodyPr>
                  </wps:wsp>
                </a:graphicData>
              </a:graphic>
            </wp:anchor>
          </w:drawing>
        </mc:Choice>
        <mc:Fallback>
          <w:pict>
            <v:rect w14:anchorId="2E562847" id="_x0000_s1028" style="position:absolute;left:0;text-align:left;margin-left:146.9pt;margin-top:-10.75pt;width:354.4pt;height:87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" filled="f" stroked="f" strokeweight="0">
              <v:textbox>
                <w:txbxContent>
                  <w:p w14:paraId="45B75D00" w14:textId="77777777" w:rsidR="007E5D84" w:rsidRDefault="007E5D84">
                    <w:pPr>
                      <w:pStyle w:val="Contenudecadre"/>
                      <w:jc w:val="right"/>
                      <w:rPr>
                        <w:rFonts w:eastAsia="HelveticaNeueLTStd-Md" w:cs="Times New Roman"/>
                        <w:b/>
                        <w:color w:val="000000"/>
                        <w:sz w:val="16"/>
                      </w:rPr>
                    </w:pPr>
                  </w:p>
                  <w:p w14:paraId="2677B400"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Direction Générale Déléguée</w:t>
                    </w:r>
                  </w:p>
                  <w:p w14:paraId="59412629"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 xml:space="preserve">Développement Economique, Innovation, </w:t>
                    </w:r>
                  </w:p>
                  <w:p w14:paraId="3361DBA5" w14:textId="77777777" w:rsidR="007E5D84" w:rsidRDefault="00CE3948">
                    <w:pPr>
                      <w:pStyle w:val="Contenudecadre"/>
                      <w:jc w:val="right"/>
                      <w:rPr>
                        <w:rFonts w:ascii="Century Gothic" w:eastAsia="HelveticaNeueLTStd-Md" w:hAnsi="Century Gothic" w:cs="Calibri"/>
                        <w:b/>
                        <w:color w:val="000000"/>
                        <w:szCs w:val="26"/>
                      </w:rPr>
                    </w:pPr>
                    <w:r>
                      <w:rPr>
                        <w:rFonts w:ascii="Century Gothic" w:eastAsia="HelveticaNeueLTStd-Md" w:hAnsi="Century Gothic" w:cs="Calibri"/>
                        <w:b/>
                        <w:color w:val="000000"/>
                        <w:szCs w:val="26"/>
                      </w:rPr>
                      <w:t>Attractivité et Relations Internationales</w:t>
                    </w:r>
                  </w:p>
                  <w:p w14:paraId="4C34203C" w14:textId="77777777" w:rsidR="007E5D84" w:rsidRDefault="007E5D84">
                    <w:pPr>
                      <w:pStyle w:val="Contenudecadre"/>
                      <w:rPr>
                        <w:rFonts w:ascii="Century Gothic" w:eastAsia="HelveticaNeueLTStd-Md" w:hAnsi="Century Gothic" w:cs="Times New Roman"/>
                        <w:b/>
                        <w:color w:val="000000"/>
                        <w:sz w:val="12"/>
                      </w:rPr>
                    </w:pPr>
                  </w:p>
                  <w:p w14:paraId="06C568BB" w14:textId="77777777" w:rsidR="007E5D84" w:rsidRDefault="007E5D84">
                    <w:pPr>
                      <w:pStyle w:val="Contenudecadre"/>
                      <w:jc w:val="center"/>
                      <w:rPr>
                        <w:rFonts w:ascii="Century Gothic" w:eastAsia="HelveticaNeueLTStd-Md" w:hAnsi="Century Gothic" w:cstheme="minorHAnsi"/>
                        <w:b/>
                      </w:rPr>
                    </w:pPr>
                  </w:p>
                </w:txbxContent>
              </v:textbox>
            </v:rect>
          </w:pict>
        </mc:Fallback>
      </mc:AlternateContent>
    </w:r>
    <w:r>
      <w:rPr>
        <w:noProof/>
      </w:rPr>
      <w:drawing>
        <wp:inline distT="0" distB="0" distL="0" distR="0" wp14:anchorId="3FB75F95" wp14:editId="78DAACC5">
          <wp:extent cx="1533525" cy="922020"/>
          <wp:effectExtent l="0" t="0" r="0" b="0"/>
          <wp:docPr id="6"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2"/>
                  <pic:cNvPicPr>
                    <a:picLocks noChangeAspect="1" noChangeArrowheads="1"/>
                  </pic:cNvPicPr>
                </pic:nvPicPr>
                <pic:blipFill>
                  <a:blip r:embed="rId1"/>
                  <a:stretch>
                    <a:fillRect/>
                  </a:stretch>
                </pic:blipFill>
                <pic:spPr bwMode="auto">
                  <a:xfrm>
                    <a:off x="0" y="0"/>
                    <a:ext cx="1533525" cy="922020"/>
                  </a:xfrm>
                  <a:prstGeom prst="rect">
                    <a:avLst/>
                  </a:prstGeom>
                </pic:spPr>
              </pic:pic>
            </a:graphicData>
          </a:graphic>
        </wp:inline>
      </w:drawing>
    </w:r>
    <w:r>
      <w:rPr>
        <w:rFonts w:cs="Times New Roman"/>
        <w:lang w:eastAsia="fr-FR"/>
      </w:rPr>
      <w:t xml:space="preserve"> </w:t>
    </w:r>
  </w:p>
  <w:p w14:paraId="19A393BE" w14:textId="77777777" w:rsidR="007E5D84" w:rsidRDefault="007E5D8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656788"/>
    <w:multiLevelType w:val="multilevel"/>
    <w:tmpl w:val="1E3EA2B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158D6CAB"/>
    <w:multiLevelType w:val="multilevel"/>
    <w:tmpl w:val="4F528230"/>
    <w:lvl w:ilvl="0">
      <w:start w:val="1"/>
      <w:numFmt w:val="bullet"/>
      <w:lvlText w:val="-"/>
      <w:lvlJc w:val="left"/>
      <w:pPr>
        <w:tabs>
          <w:tab w:val="num" w:pos="0"/>
        </w:tabs>
        <w:ind w:left="502"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288001BB"/>
    <w:multiLevelType w:val="multilevel"/>
    <w:tmpl w:val="343E84E6"/>
    <w:lvl w:ilvl="0">
      <w:start w:val="1"/>
      <w:numFmt w:val="bullet"/>
      <w:lvlText w:val=""/>
      <w:lvlJc w:val="left"/>
      <w:pPr>
        <w:tabs>
          <w:tab w:val="num" w:pos="0"/>
        </w:tabs>
        <w:ind w:left="2880" w:hanging="360"/>
      </w:pPr>
      <w:rPr>
        <w:rFonts w:ascii="Wingdings" w:hAnsi="Wingdings" w:cs="Wingdings" w:hint="default"/>
      </w:rPr>
    </w:lvl>
    <w:lvl w:ilvl="1">
      <w:start w:val="1"/>
      <w:numFmt w:val="bullet"/>
      <w:lvlText w:val="o"/>
      <w:lvlJc w:val="left"/>
      <w:pPr>
        <w:tabs>
          <w:tab w:val="num" w:pos="0"/>
        </w:tabs>
        <w:ind w:left="3600" w:hanging="360"/>
      </w:pPr>
      <w:rPr>
        <w:rFonts w:ascii="Courier New" w:hAnsi="Courier New" w:cs="Courier New" w:hint="default"/>
      </w:rPr>
    </w:lvl>
    <w:lvl w:ilvl="2">
      <w:start w:val="1"/>
      <w:numFmt w:val="bullet"/>
      <w:lvlText w:val=""/>
      <w:lvlJc w:val="left"/>
      <w:pPr>
        <w:tabs>
          <w:tab w:val="num" w:pos="0"/>
        </w:tabs>
        <w:ind w:left="4320" w:hanging="360"/>
      </w:pPr>
      <w:rPr>
        <w:rFonts w:ascii="Wingdings" w:hAnsi="Wingdings" w:cs="Wingdings" w:hint="default"/>
      </w:rPr>
    </w:lvl>
    <w:lvl w:ilvl="3">
      <w:start w:val="1"/>
      <w:numFmt w:val="bullet"/>
      <w:lvlText w:val=""/>
      <w:lvlJc w:val="left"/>
      <w:pPr>
        <w:tabs>
          <w:tab w:val="num" w:pos="0"/>
        </w:tabs>
        <w:ind w:left="5040" w:hanging="360"/>
      </w:pPr>
      <w:rPr>
        <w:rFonts w:ascii="Symbol" w:hAnsi="Symbol" w:cs="Symbol" w:hint="default"/>
      </w:rPr>
    </w:lvl>
    <w:lvl w:ilvl="4">
      <w:start w:val="1"/>
      <w:numFmt w:val="bullet"/>
      <w:lvlText w:val="o"/>
      <w:lvlJc w:val="left"/>
      <w:pPr>
        <w:tabs>
          <w:tab w:val="num" w:pos="0"/>
        </w:tabs>
        <w:ind w:left="5760" w:hanging="360"/>
      </w:pPr>
      <w:rPr>
        <w:rFonts w:ascii="Courier New" w:hAnsi="Courier New" w:cs="Courier New" w:hint="default"/>
      </w:rPr>
    </w:lvl>
    <w:lvl w:ilvl="5">
      <w:start w:val="1"/>
      <w:numFmt w:val="bullet"/>
      <w:lvlText w:val=""/>
      <w:lvlJc w:val="left"/>
      <w:pPr>
        <w:tabs>
          <w:tab w:val="num" w:pos="0"/>
        </w:tabs>
        <w:ind w:left="6480" w:hanging="360"/>
      </w:pPr>
      <w:rPr>
        <w:rFonts w:ascii="Wingdings" w:hAnsi="Wingdings" w:cs="Wingdings" w:hint="default"/>
      </w:rPr>
    </w:lvl>
    <w:lvl w:ilvl="6">
      <w:start w:val="1"/>
      <w:numFmt w:val="bullet"/>
      <w:lvlText w:val=""/>
      <w:lvlJc w:val="left"/>
      <w:pPr>
        <w:tabs>
          <w:tab w:val="num" w:pos="0"/>
        </w:tabs>
        <w:ind w:left="7200" w:hanging="360"/>
      </w:pPr>
      <w:rPr>
        <w:rFonts w:ascii="Symbol" w:hAnsi="Symbol" w:cs="Symbol" w:hint="default"/>
      </w:rPr>
    </w:lvl>
    <w:lvl w:ilvl="7">
      <w:start w:val="1"/>
      <w:numFmt w:val="bullet"/>
      <w:lvlText w:val="o"/>
      <w:lvlJc w:val="left"/>
      <w:pPr>
        <w:tabs>
          <w:tab w:val="num" w:pos="0"/>
        </w:tabs>
        <w:ind w:left="7920" w:hanging="360"/>
      </w:pPr>
      <w:rPr>
        <w:rFonts w:ascii="Courier New" w:hAnsi="Courier New" w:cs="Courier New" w:hint="default"/>
      </w:rPr>
    </w:lvl>
    <w:lvl w:ilvl="8">
      <w:start w:val="1"/>
      <w:numFmt w:val="bullet"/>
      <w:lvlText w:val=""/>
      <w:lvlJc w:val="left"/>
      <w:pPr>
        <w:tabs>
          <w:tab w:val="num" w:pos="0"/>
        </w:tabs>
        <w:ind w:left="8640" w:hanging="360"/>
      </w:pPr>
      <w:rPr>
        <w:rFonts w:ascii="Wingdings" w:hAnsi="Wingdings" w:cs="Wingdings" w:hint="default"/>
      </w:rPr>
    </w:lvl>
  </w:abstractNum>
  <w:abstractNum w:abstractNumId="3" w15:restartNumberingAfterBreak="0">
    <w:nsid w:val="34317B46"/>
    <w:multiLevelType w:val="multilevel"/>
    <w:tmpl w:val="DF9E45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9AC4975"/>
    <w:multiLevelType w:val="multilevel"/>
    <w:tmpl w:val="BF4AEE10"/>
    <w:lvl w:ilvl="0">
      <w:start w:val="1"/>
      <w:numFmt w:val="bullet"/>
      <w:lvlText w:val="o"/>
      <w:lvlJc w:val="left"/>
      <w:pPr>
        <w:tabs>
          <w:tab w:val="num" w:pos="0"/>
        </w:tabs>
        <w:ind w:left="1440" w:hanging="360"/>
      </w:pPr>
      <w:rPr>
        <w:rFonts w:ascii="Courier New" w:hAnsi="Courier New" w:cs="Courier New" w:hint="default"/>
      </w:rPr>
    </w:lvl>
    <w:lvl w:ilvl="1">
      <w:start w:val="1"/>
      <w:numFmt w:val="bullet"/>
      <w:lvlText w:val="o"/>
      <w:lvlJc w:val="left"/>
      <w:pPr>
        <w:tabs>
          <w:tab w:val="num" w:pos="0"/>
        </w:tabs>
        <w:ind w:left="2160" w:hanging="360"/>
      </w:pPr>
      <w:rPr>
        <w:rFonts w:ascii="Courier New" w:hAnsi="Courier New" w:cs="Courier New" w:hint="default"/>
      </w:rPr>
    </w:lvl>
    <w:lvl w:ilvl="2">
      <w:start w:val="1"/>
      <w:numFmt w:val="bullet"/>
      <w:lvlText w:val=""/>
      <w:lvlJc w:val="left"/>
      <w:pPr>
        <w:tabs>
          <w:tab w:val="num" w:pos="0"/>
        </w:tabs>
        <w:ind w:left="2880" w:hanging="360"/>
      </w:pPr>
      <w:rPr>
        <w:rFonts w:ascii="Wingdings" w:hAnsi="Wingdings" w:cs="Wingdings" w:hint="default"/>
      </w:rPr>
    </w:lvl>
    <w:lvl w:ilvl="3">
      <w:start w:val="1"/>
      <w:numFmt w:val="bullet"/>
      <w:lvlText w:val=""/>
      <w:lvlJc w:val="left"/>
      <w:pPr>
        <w:tabs>
          <w:tab w:val="num" w:pos="0"/>
        </w:tabs>
        <w:ind w:left="3600" w:hanging="360"/>
      </w:pPr>
      <w:rPr>
        <w:rFonts w:ascii="Symbol" w:hAnsi="Symbol" w:cs="Symbol" w:hint="default"/>
      </w:rPr>
    </w:lvl>
    <w:lvl w:ilvl="4">
      <w:start w:val="1"/>
      <w:numFmt w:val="bullet"/>
      <w:lvlText w:val="o"/>
      <w:lvlJc w:val="left"/>
      <w:pPr>
        <w:tabs>
          <w:tab w:val="num" w:pos="0"/>
        </w:tabs>
        <w:ind w:left="4320" w:hanging="360"/>
      </w:pPr>
      <w:rPr>
        <w:rFonts w:ascii="Courier New" w:hAnsi="Courier New" w:cs="Courier New" w:hint="default"/>
      </w:rPr>
    </w:lvl>
    <w:lvl w:ilvl="5">
      <w:start w:val="1"/>
      <w:numFmt w:val="bullet"/>
      <w:lvlText w:val=""/>
      <w:lvlJc w:val="left"/>
      <w:pPr>
        <w:tabs>
          <w:tab w:val="num" w:pos="0"/>
        </w:tabs>
        <w:ind w:left="5040" w:hanging="360"/>
      </w:pPr>
      <w:rPr>
        <w:rFonts w:ascii="Wingdings" w:hAnsi="Wingdings" w:cs="Wingdings" w:hint="default"/>
      </w:rPr>
    </w:lvl>
    <w:lvl w:ilvl="6">
      <w:start w:val="1"/>
      <w:numFmt w:val="bullet"/>
      <w:lvlText w:val=""/>
      <w:lvlJc w:val="left"/>
      <w:pPr>
        <w:tabs>
          <w:tab w:val="num" w:pos="0"/>
        </w:tabs>
        <w:ind w:left="5760" w:hanging="360"/>
      </w:pPr>
      <w:rPr>
        <w:rFonts w:ascii="Symbol" w:hAnsi="Symbol" w:cs="Symbol" w:hint="default"/>
      </w:rPr>
    </w:lvl>
    <w:lvl w:ilvl="7">
      <w:start w:val="1"/>
      <w:numFmt w:val="bullet"/>
      <w:lvlText w:val="o"/>
      <w:lvlJc w:val="left"/>
      <w:pPr>
        <w:tabs>
          <w:tab w:val="num" w:pos="0"/>
        </w:tabs>
        <w:ind w:left="6480" w:hanging="360"/>
      </w:pPr>
      <w:rPr>
        <w:rFonts w:ascii="Courier New" w:hAnsi="Courier New" w:cs="Courier New" w:hint="default"/>
      </w:rPr>
    </w:lvl>
    <w:lvl w:ilvl="8">
      <w:start w:val="1"/>
      <w:numFmt w:val="bullet"/>
      <w:lvlText w:val=""/>
      <w:lvlJc w:val="left"/>
      <w:pPr>
        <w:tabs>
          <w:tab w:val="num" w:pos="0"/>
        </w:tabs>
        <w:ind w:left="7200" w:hanging="360"/>
      </w:pPr>
      <w:rPr>
        <w:rFonts w:ascii="Wingdings" w:hAnsi="Wingdings" w:cs="Wingdings" w:hint="default"/>
      </w:rPr>
    </w:lvl>
  </w:abstractNum>
  <w:abstractNum w:abstractNumId="5" w15:restartNumberingAfterBreak="0">
    <w:nsid w:val="438348CE"/>
    <w:multiLevelType w:val="multilevel"/>
    <w:tmpl w:val="8D8E229C"/>
    <w:lvl w:ilvl="0">
      <w:start w:val="1"/>
      <w:numFmt w:val="decimal"/>
      <w:lvlText w:val="%1."/>
      <w:lvlJc w:val="left"/>
      <w:pPr>
        <w:tabs>
          <w:tab w:val="num" w:pos="0"/>
        </w:tabs>
        <w:ind w:left="720" w:hanging="360"/>
      </w:pPr>
      <w:rPr>
        <w:b/>
        <w:color w:val="5B9BD5"/>
        <w:sz w:val="28"/>
        <w:szCs w:val="28"/>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510B58A7"/>
    <w:multiLevelType w:val="multilevel"/>
    <w:tmpl w:val="9778542A"/>
    <w:lvl w:ilvl="0">
      <w:start w:val="1"/>
      <w:numFmt w:val="bullet"/>
      <w:lvlText w:val=""/>
      <w:lvlJc w:val="left"/>
      <w:pPr>
        <w:tabs>
          <w:tab w:val="num" w:pos="0"/>
        </w:tabs>
        <w:ind w:left="2160" w:hanging="360"/>
      </w:pPr>
      <w:rPr>
        <w:rFonts w:ascii="Wingdings" w:hAnsi="Wingdings" w:cs="Wingdings" w:hint="default"/>
        <w:sz w:val="22"/>
        <w:szCs w:val="22"/>
      </w:rPr>
    </w:lvl>
    <w:lvl w:ilvl="1">
      <w:start w:val="1"/>
      <w:numFmt w:val="bullet"/>
      <w:lvlText w:val=""/>
      <w:lvlJc w:val="left"/>
      <w:pPr>
        <w:tabs>
          <w:tab w:val="num" w:pos="0"/>
        </w:tabs>
        <w:ind w:left="2880" w:hanging="360"/>
      </w:pPr>
      <w:rPr>
        <w:rFonts w:ascii="Wingdings" w:hAnsi="Wingdings" w:cs="Wingdings" w:hint="default"/>
        <w:sz w:val="22"/>
        <w:szCs w:val="22"/>
      </w:rPr>
    </w:lvl>
    <w:lvl w:ilvl="2">
      <w:start w:val="1"/>
      <w:numFmt w:val="bullet"/>
      <w:lvlText w:val=""/>
      <w:lvlJc w:val="left"/>
      <w:pPr>
        <w:tabs>
          <w:tab w:val="num" w:pos="0"/>
        </w:tabs>
        <w:ind w:left="3600" w:hanging="360"/>
      </w:pPr>
      <w:rPr>
        <w:rFonts w:ascii="Wingdings" w:hAnsi="Wingdings" w:cs="Wingdings" w:hint="default"/>
      </w:rPr>
    </w:lvl>
    <w:lvl w:ilvl="3">
      <w:start w:val="1"/>
      <w:numFmt w:val="bullet"/>
      <w:lvlText w:val=""/>
      <w:lvlJc w:val="left"/>
      <w:pPr>
        <w:tabs>
          <w:tab w:val="num" w:pos="0"/>
        </w:tabs>
        <w:ind w:left="4320" w:hanging="360"/>
      </w:pPr>
      <w:rPr>
        <w:rFonts w:ascii="Symbol" w:hAnsi="Symbol" w:cs="Symbol" w:hint="default"/>
      </w:rPr>
    </w:lvl>
    <w:lvl w:ilvl="4">
      <w:start w:val="1"/>
      <w:numFmt w:val="bullet"/>
      <w:lvlText w:val="o"/>
      <w:lvlJc w:val="left"/>
      <w:pPr>
        <w:tabs>
          <w:tab w:val="num" w:pos="0"/>
        </w:tabs>
        <w:ind w:left="5040" w:hanging="360"/>
      </w:pPr>
      <w:rPr>
        <w:rFonts w:ascii="Courier New" w:hAnsi="Courier New" w:cs="Courier New" w:hint="default"/>
      </w:rPr>
    </w:lvl>
    <w:lvl w:ilvl="5">
      <w:start w:val="1"/>
      <w:numFmt w:val="bullet"/>
      <w:lvlText w:val=""/>
      <w:lvlJc w:val="left"/>
      <w:pPr>
        <w:tabs>
          <w:tab w:val="num" w:pos="0"/>
        </w:tabs>
        <w:ind w:left="5760" w:hanging="360"/>
      </w:pPr>
      <w:rPr>
        <w:rFonts w:ascii="Wingdings" w:hAnsi="Wingdings" w:cs="Wingdings" w:hint="default"/>
      </w:rPr>
    </w:lvl>
    <w:lvl w:ilvl="6">
      <w:start w:val="1"/>
      <w:numFmt w:val="bullet"/>
      <w:lvlText w:val=""/>
      <w:lvlJc w:val="left"/>
      <w:pPr>
        <w:tabs>
          <w:tab w:val="num" w:pos="0"/>
        </w:tabs>
        <w:ind w:left="6480" w:hanging="360"/>
      </w:pPr>
      <w:rPr>
        <w:rFonts w:ascii="Symbol" w:hAnsi="Symbol" w:cs="Symbol" w:hint="default"/>
      </w:rPr>
    </w:lvl>
    <w:lvl w:ilvl="7">
      <w:start w:val="1"/>
      <w:numFmt w:val="bullet"/>
      <w:lvlText w:val="o"/>
      <w:lvlJc w:val="left"/>
      <w:pPr>
        <w:tabs>
          <w:tab w:val="num" w:pos="0"/>
        </w:tabs>
        <w:ind w:left="7200" w:hanging="360"/>
      </w:pPr>
      <w:rPr>
        <w:rFonts w:ascii="Courier New" w:hAnsi="Courier New" w:cs="Courier New" w:hint="default"/>
      </w:rPr>
    </w:lvl>
    <w:lvl w:ilvl="8">
      <w:start w:val="1"/>
      <w:numFmt w:val="bullet"/>
      <w:lvlText w:val=""/>
      <w:lvlJc w:val="left"/>
      <w:pPr>
        <w:tabs>
          <w:tab w:val="num" w:pos="0"/>
        </w:tabs>
        <w:ind w:left="7920" w:hanging="360"/>
      </w:pPr>
      <w:rPr>
        <w:rFonts w:ascii="Wingdings" w:hAnsi="Wingdings" w:cs="Wingdings" w:hint="default"/>
      </w:rPr>
    </w:lvl>
  </w:abstractNum>
  <w:abstractNum w:abstractNumId="7" w15:restartNumberingAfterBreak="0">
    <w:nsid w:val="6A6E5AC3"/>
    <w:multiLevelType w:val="multilevel"/>
    <w:tmpl w:val="57108A9E"/>
    <w:lvl w:ilvl="0">
      <w:start w:val="1"/>
      <w:numFmt w:val="bullet"/>
      <w:lvlText w:val=""/>
      <w:lvlJc w:val="left"/>
      <w:pPr>
        <w:tabs>
          <w:tab w:val="num" w:pos="720"/>
        </w:tabs>
        <w:ind w:left="720" w:hanging="360"/>
      </w:pPr>
      <w:rPr>
        <w:rFonts w:ascii="Symbol" w:hAnsi="Symbol" w:cs="Symbol" w:hint="default"/>
        <w:sz w:val="22"/>
        <w:szCs w:val="22"/>
      </w:rPr>
    </w:lvl>
    <w:lvl w:ilvl="1">
      <w:start w:val="1"/>
      <w:numFmt w:val="bullet"/>
      <w:lvlText w:val="◦"/>
      <w:lvlJc w:val="left"/>
      <w:pPr>
        <w:tabs>
          <w:tab w:val="num" w:pos="1080"/>
        </w:tabs>
        <w:ind w:left="1080" w:hanging="360"/>
      </w:pPr>
      <w:rPr>
        <w:rFonts w:ascii="OpenSymbol" w:hAnsi="OpenSymbol" w:cs="OpenSymbol" w:hint="default"/>
        <w:sz w:val="22"/>
        <w:szCs w:val="22"/>
      </w:rPr>
    </w:lvl>
    <w:lvl w:ilvl="2">
      <w:start w:val="1"/>
      <w:numFmt w:val="bullet"/>
      <w:lvlText w:val="▪"/>
      <w:lvlJc w:val="left"/>
      <w:pPr>
        <w:tabs>
          <w:tab w:val="num" w:pos="1440"/>
        </w:tabs>
        <w:ind w:left="1440" w:hanging="360"/>
      </w:pPr>
      <w:rPr>
        <w:rFonts w:ascii="OpenSymbol" w:hAnsi="OpenSymbol" w:cs="OpenSymbol" w:hint="default"/>
        <w:sz w:val="22"/>
        <w:szCs w:val="22"/>
      </w:rPr>
    </w:lvl>
    <w:lvl w:ilvl="3">
      <w:start w:val="1"/>
      <w:numFmt w:val="bullet"/>
      <w:lvlText w:val=""/>
      <w:lvlJc w:val="left"/>
      <w:pPr>
        <w:tabs>
          <w:tab w:val="num" w:pos="1800"/>
        </w:tabs>
        <w:ind w:left="1800" w:hanging="360"/>
      </w:pPr>
      <w:rPr>
        <w:rFonts w:ascii="Symbol" w:hAnsi="Symbol" w:cs="Symbol" w:hint="default"/>
        <w:sz w:val="22"/>
        <w:szCs w:val="22"/>
      </w:rPr>
    </w:lvl>
    <w:lvl w:ilvl="4">
      <w:start w:val="1"/>
      <w:numFmt w:val="bullet"/>
      <w:lvlText w:val="◦"/>
      <w:lvlJc w:val="left"/>
      <w:pPr>
        <w:tabs>
          <w:tab w:val="num" w:pos="2160"/>
        </w:tabs>
        <w:ind w:left="2160" w:hanging="360"/>
      </w:pPr>
      <w:rPr>
        <w:rFonts w:ascii="OpenSymbol" w:hAnsi="OpenSymbol" w:cs="OpenSymbol" w:hint="default"/>
        <w:sz w:val="22"/>
        <w:szCs w:val="22"/>
      </w:rPr>
    </w:lvl>
    <w:lvl w:ilvl="5">
      <w:start w:val="1"/>
      <w:numFmt w:val="bullet"/>
      <w:lvlText w:val="▪"/>
      <w:lvlJc w:val="left"/>
      <w:pPr>
        <w:tabs>
          <w:tab w:val="num" w:pos="2520"/>
        </w:tabs>
        <w:ind w:left="2520" w:hanging="360"/>
      </w:pPr>
      <w:rPr>
        <w:rFonts w:ascii="OpenSymbol" w:hAnsi="OpenSymbol" w:cs="OpenSymbol" w:hint="default"/>
        <w:sz w:val="22"/>
        <w:szCs w:val="22"/>
      </w:rPr>
    </w:lvl>
    <w:lvl w:ilvl="6">
      <w:start w:val="1"/>
      <w:numFmt w:val="bullet"/>
      <w:lvlText w:val=""/>
      <w:lvlJc w:val="left"/>
      <w:pPr>
        <w:tabs>
          <w:tab w:val="num" w:pos="2880"/>
        </w:tabs>
        <w:ind w:left="2880" w:hanging="360"/>
      </w:pPr>
      <w:rPr>
        <w:rFonts w:ascii="Symbol" w:hAnsi="Symbol" w:cs="Symbol" w:hint="default"/>
        <w:sz w:val="22"/>
        <w:szCs w:val="22"/>
      </w:rPr>
    </w:lvl>
    <w:lvl w:ilvl="7">
      <w:start w:val="1"/>
      <w:numFmt w:val="bullet"/>
      <w:lvlText w:val="◦"/>
      <w:lvlJc w:val="left"/>
      <w:pPr>
        <w:tabs>
          <w:tab w:val="num" w:pos="3240"/>
        </w:tabs>
        <w:ind w:left="3240" w:hanging="360"/>
      </w:pPr>
      <w:rPr>
        <w:rFonts w:ascii="OpenSymbol" w:hAnsi="OpenSymbol" w:cs="OpenSymbol" w:hint="default"/>
        <w:sz w:val="22"/>
        <w:szCs w:val="22"/>
      </w:rPr>
    </w:lvl>
    <w:lvl w:ilvl="8">
      <w:start w:val="1"/>
      <w:numFmt w:val="bullet"/>
      <w:lvlText w:val="▪"/>
      <w:lvlJc w:val="left"/>
      <w:pPr>
        <w:tabs>
          <w:tab w:val="num" w:pos="3600"/>
        </w:tabs>
        <w:ind w:left="3600" w:hanging="360"/>
      </w:pPr>
      <w:rPr>
        <w:rFonts w:ascii="OpenSymbol" w:hAnsi="OpenSymbol" w:cs="OpenSymbol" w:hint="default"/>
        <w:sz w:val="22"/>
        <w:szCs w:val="22"/>
      </w:rPr>
    </w:lvl>
  </w:abstractNum>
  <w:num w:numId="1">
    <w:abstractNumId w:val="5"/>
  </w:num>
  <w:num w:numId="2">
    <w:abstractNumId w:val="1"/>
  </w:num>
  <w:num w:numId="3">
    <w:abstractNumId w:val="0"/>
  </w:num>
  <w:num w:numId="4">
    <w:abstractNumId w:val="4"/>
  </w:num>
  <w:num w:numId="5">
    <w:abstractNumId w:val="6"/>
  </w:num>
  <w:num w:numId="6">
    <w:abstractNumId w:val="2"/>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5D84"/>
    <w:rsid w:val="000603F9"/>
    <w:rsid w:val="00236207"/>
    <w:rsid w:val="006E36B3"/>
    <w:rsid w:val="007C78B9"/>
    <w:rsid w:val="007E5D84"/>
    <w:rsid w:val="009042A9"/>
    <w:rsid w:val="009A43B0"/>
    <w:rsid w:val="00CE3948"/>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862559"/>
  <w15:docId w15:val="{1467491E-80A0-41FF-99C7-168A77692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0E4F"/>
    <w:pPr>
      <w:jc w:val="both"/>
    </w:pPr>
  </w:style>
  <w:style w:type="paragraph" w:styleId="Titre3">
    <w:name w:val="heading 3"/>
    <w:basedOn w:val="Normal"/>
    <w:next w:val="Normal"/>
    <w:link w:val="Titre3Car"/>
    <w:uiPriority w:val="9"/>
    <w:unhideWhenUsed/>
    <w:qFormat/>
    <w:rsid w:val="000224B2"/>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En-tteCar">
    <w:name w:val="En-tête Car"/>
    <w:basedOn w:val="Policepardfaut"/>
    <w:link w:val="En-tte"/>
    <w:uiPriority w:val="99"/>
    <w:qFormat/>
    <w:rsid w:val="009E39D5"/>
  </w:style>
  <w:style w:type="character" w:customStyle="1" w:styleId="PieddepageCar">
    <w:name w:val="Pied de page Car"/>
    <w:basedOn w:val="Policepardfaut"/>
    <w:link w:val="Pieddepage"/>
    <w:uiPriority w:val="99"/>
    <w:qFormat/>
    <w:rsid w:val="009E39D5"/>
  </w:style>
  <w:style w:type="character" w:customStyle="1" w:styleId="Titre3Car">
    <w:name w:val="Titre 3 Car"/>
    <w:basedOn w:val="Policepardfaut"/>
    <w:link w:val="Titre3"/>
    <w:uiPriority w:val="9"/>
    <w:qFormat/>
    <w:rsid w:val="000224B2"/>
    <w:rPr>
      <w:rFonts w:asciiTheme="majorHAnsi" w:eastAsiaTheme="majorEastAsia" w:hAnsiTheme="majorHAnsi" w:cstheme="majorBidi"/>
      <w:color w:val="1F4D78" w:themeColor="accent1" w:themeShade="7F"/>
      <w:sz w:val="24"/>
      <w:szCs w:val="24"/>
    </w:rPr>
  </w:style>
  <w:style w:type="character" w:customStyle="1" w:styleId="NotedebasdepageCar">
    <w:name w:val="Note de bas de page Car"/>
    <w:basedOn w:val="Policepardfaut"/>
    <w:link w:val="Notedebasdepage"/>
    <w:uiPriority w:val="99"/>
    <w:semiHidden/>
    <w:qFormat/>
    <w:rsid w:val="008B32B5"/>
    <w:rPr>
      <w:rFonts w:ascii="Calibri" w:eastAsia="Calibri" w:hAnsi="Calibri" w:cs="Times New Roman"/>
      <w:sz w:val="20"/>
      <w:szCs w:val="20"/>
    </w:rPr>
  </w:style>
  <w:style w:type="character" w:styleId="Appelnotedebasdep">
    <w:name w:val="footnote reference"/>
    <w:rPr>
      <w:vertAlign w:val="superscript"/>
    </w:rPr>
  </w:style>
  <w:style w:type="character" w:customStyle="1" w:styleId="FootnoteCharacters">
    <w:name w:val="Footnote Characters"/>
    <w:qFormat/>
    <w:rPr>
      <w:vertAlign w:val="superscript"/>
    </w:rPr>
  </w:style>
  <w:style w:type="character" w:customStyle="1" w:styleId="FootnoteCharacters1">
    <w:name w:val="Footnote Characters1"/>
    <w:qFormat/>
    <w:rPr>
      <w:vertAlign w:val="superscript"/>
    </w:rPr>
  </w:style>
  <w:style w:type="character" w:customStyle="1" w:styleId="FootnoteCharacters11">
    <w:name w:val="Footnote Characters11"/>
    <w:qFormat/>
    <w:rPr>
      <w:vertAlign w:val="superscript"/>
    </w:rPr>
  </w:style>
  <w:style w:type="character" w:customStyle="1" w:styleId="FootnoteCharacters111">
    <w:name w:val="Footnote Characters111"/>
    <w:qFormat/>
    <w:rPr>
      <w:vertAlign w:val="superscript"/>
    </w:rPr>
  </w:style>
  <w:style w:type="character" w:customStyle="1" w:styleId="FootnoteCharacters1111">
    <w:name w:val="Footnote Characters1111"/>
    <w:qFormat/>
    <w:rPr>
      <w:vertAlign w:val="superscript"/>
    </w:rPr>
  </w:style>
  <w:style w:type="character" w:customStyle="1" w:styleId="FootnoteCharacters11111">
    <w:name w:val="Footnote Characters11111"/>
    <w:qFormat/>
    <w:rPr>
      <w:vertAlign w:val="superscript"/>
    </w:rPr>
  </w:style>
  <w:style w:type="character" w:customStyle="1" w:styleId="FootnoteCharacters111111">
    <w:name w:val="Footnote Characters111111"/>
    <w:qFormat/>
    <w:rPr>
      <w:vertAlign w:val="superscript"/>
    </w:rPr>
  </w:style>
  <w:style w:type="character" w:customStyle="1" w:styleId="FootnoteCharacters1111111">
    <w:name w:val="Footnote Characters1111111"/>
    <w:qFormat/>
    <w:rPr>
      <w:vertAlign w:val="superscript"/>
    </w:rPr>
  </w:style>
  <w:style w:type="character" w:customStyle="1" w:styleId="FootnoteCharacters11111111">
    <w:name w:val="Footnote Characters11111111"/>
    <w:uiPriority w:val="99"/>
    <w:semiHidden/>
    <w:unhideWhenUsed/>
    <w:qFormat/>
    <w:rsid w:val="008B32B5"/>
    <w:rPr>
      <w:vertAlign w:val="superscript"/>
    </w:rPr>
  </w:style>
  <w:style w:type="character" w:customStyle="1" w:styleId="ParagraphedelisteCar">
    <w:name w:val="Paragraphe de liste Car"/>
    <w:basedOn w:val="Policepardfaut"/>
    <w:link w:val="Paragraphedeliste"/>
    <w:uiPriority w:val="34"/>
    <w:qFormat/>
    <w:locked/>
    <w:rsid w:val="00062B4D"/>
  </w:style>
  <w:style w:type="character" w:customStyle="1" w:styleId="Caractresdenotedebasdepage">
    <w:name w:val="Caractères de note de bas de page"/>
    <w:qFormat/>
  </w:style>
  <w:style w:type="character" w:styleId="Appeldenotedefin">
    <w:name w:val="endnote reference"/>
    <w:rPr>
      <w:vertAlign w:val="superscript"/>
    </w:rPr>
  </w:style>
  <w:style w:type="character" w:customStyle="1" w:styleId="EndnoteCharacters">
    <w:name w:val="Endnote Characters"/>
    <w:qFormat/>
    <w:rPr>
      <w:vertAlign w:val="superscript"/>
    </w:rPr>
  </w:style>
  <w:style w:type="character" w:customStyle="1" w:styleId="EndnoteCharacters1">
    <w:name w:val="Endnote Characters1"/>
    <w:qFormat/>
    <w:rPr>
      <w:vertAlign w:val="superscript"/>
    </w:rPr>
  </w:style>
  <w:style w:type="character" w:customStyle="1" w:styleId="EndnoteCharacters11">
    <w:name w:val="Endnote Characters11"/>
    <w:qFormat/>
    <w:rPr>
      <w:vertAlign w:val="superscript"/>
    </w:rPr>
  </w:style>
  <w:style w:type="character" w:customStyle="1" w:styleId="EndnoteCharacters111">
    <w:name w:val="Endnote Characters111"/>
    <w:qFormat/>
    <w:rPr>
      <w:vertAlign w:val="superscript"/>
    </w:rPr>
  </w:style>
  <w:style w:type="character" w:customStyle="1" w:styleId="EndnoteCharacters1111">
    <w:name w:val="Endnote Characters1111"/>
    <w:qFormat/>
    <w:rPr>
      <w:vertAlign w:val="superscript"/>
    </w:rPr>
  </w:style>
  <w:style w:type="character" w:customStyle="1" w:styleId="EndnoteCharacters11111">
    <w:name w:val="Endnote Characters11111"/>
    <w:qFormat/>
    <w:rPr>
      <w:vertAlign w:val="superscript"/>
    </w:rPr>
  </w:style>
  <w:style w:type="character" w:customStyle="1" w:styleId="EndnoteCharacters111111">
    <w:name w:val="Endnote Characters111111"/>
    <w:qFormat/>
    <w:rPr>
      <w:vertAlign w:val="superscript"/>
    </w:rPr>
  </w:style>
  <w:style w:type="character" w:customStyle="1" w:styleId="EndnoteCharacters1111111">
    <w:name w:val="Endnote Characters1111111"/>
    <w:qFormat/>
    <w:rPr>
      <w:vertAlign w:val="superscript"/>
    </w:rPr>
  </w:style>
  <w:style w:type="character" w:customStyle="1" w:styleId="Caractresdenotedefin">
    <w:name w:val="Caractères de note de fin"/>
    <w:qFormat/>
  </w:style>
  <w:style w:type="character" w:customStyle="1" w:styleId="LineNumbering">
    <w:name w:val="Line Numbering"/>
    <w:qFormat/>
  </w:style>
  <w:style w:type="character" w:customStyle="1" w:styleId="LineNumbering1">
    <w:name w:val="Line Numbering1"/>
    <w:qFormat/>
  </w:style>
  <w:style w:type="character" w:customStyle="1" w:styleId="LineNumbering2">
    <w:name w:val="Line Numbering2"/>
    <w:qFormat/>
  </w:style>
  <w:style w:type="character" w:customStyle="1" w:styleId="LineNumbering3">
    <w:name w:val="Line Numbering3"/>
    <w:qFormat/>
  </w:style>
  <w:style w:type="character" w:customStyle="1" w:styleId="Puces">
    <w:name w:val="Puces"/>
    <w:qFormat/>
    <w:rPr>
      <w:rFonts w:ascii="OpenSymbol" w:eastAsia="OpenSymbol" w:hAnsi="OpenSymbol" w:cs="OpenSymbol"/>
      <w:sz w:val="22"/>
      <w:szCs w:val="22"/>
    </w:rPr>
  </w:style>
  <w:style w:type="character" w:customStyle="1" w:styleId="LineNumbering4">
    <w:name w:val="Line Numbering4"/>
    <w:qFormat/>
  </w:style>
  <w:style w:type="character" w:customStyle="1" w:styleId="LineNumbering5">
    <w:name w:val="Line Numbering5"/>
    <w:qFormat/>
  </w:style>
  <w:style w:type="character" w:customStyle="1" w:styleId="LineNumbering6">
    <w:name w:val="Line Numbering6"/>
    <w:qFormat/>
  </w:style>
  <w:style w:type="character" w:customStyle="1" w:styleId="LineNumbering7">
    <w:name w:val="Line Numbering7"/>
    <w:qFormat/>
  </w:style>
  <w:style w:type="character" w:styleId="Numrodeligne">
    <w:name w:val="line number"/>
  </w:style>
  <w:style w:type="paragraph" w:styleId="Titre">
    <w:name w:val="Title"/>
    <w:basedOn w:val="Normal"/>
    <w:next w:val="Corpsdetexte"/>
    <w:qFormat/>
    <w:pPr>
      <w:keepNext/>
      <w:spacing w:before="240" w:after="120"/>
    </w:pPr>
    <w:rPr>
      <w:rFonts w:ascii="Marianne" w:eastAsia="Microsoft YaHei" w:hAnsi="Marianne" w:cs="Arial"/>
      <w:sz w:val="28"/>
      <w:szCs w:val="28"/>
    </w:rPr>
  </w:style>
  <w:style w:type="paragraph" w:styleId="Corpsdetexte">
    <w:name w:val="Body Text"/>
    <w:basedOn w:val="Normal"/>
    <w:pPr>
      <w:spacing w:after="140" w:line="276" w:lineRule="auto"/>
    </w:pPr>
  </w:style>
  <w:style w:type="paragraph" w:styleId="Liste">
    <w:name w:val="List"/>
    <w:basedOn w:val="Corpsdetexte"/>
    <w:rPr>
      <w:rFonts w:ascii="Marianne" w:hAnsi="Marianne" w:cs="Arial"/>
    </w:rPr>
  </w:style>
  <w:style w:type="paragraph" w:styleId="Lgende">
    <w:name w:val="caption"/>
    <w:basedOn w:val="Normal"/>
    <w:qFormat/>
    <w:pPr>
      <w:suppressLineNumbers/>
      <w:spacing w:before="120" w:after="120"/>
    </w:pPr>
    <w:rPr>
      <w:rFonts w:ascii="Marianne" w:hAnsi="Marianne" w:cs="Arial"/>
      <w:i/>
      <w:iCs/>
      <w:sz w:val="24"/>
      <w:szCs w:val="24"/>
    </w:rPr>
  </w:style>
  <w:style w:type="paragraph" w:customStyle="1" w:styleId="Index">
    <w:name w:val="Index"/>
    <w:basedOn w:val="Normal"/>
    <w:qFormat/>
    <w:pPr>
      <w:suppressLineNumbers/>
    </w:pPr>
    <w:rPr>
      <w:rFonts w:ascii="Marianne" w:hAnsi="Marianne" w:cs="Arial"/>
    </w:rPr>
  </w:style>
  <w:style w:type="paragraph" w:customStyle="1" w:styleId="HeaderandFooter">
    <w:name w:val="Header and Footer"/>
    <w:basedOn w:val="Normal"/>
    <w:qFormat/>
  </w:style>
  <w:style w:type="paragraph" w:styleId="En-tte">
    <w:name w:val="header"/>
    <w:basedOn w:val="Normal"/>
    <w:link w:val="En-tteCar"/>
    <w:uiPriority w:val="99"/>
    <w:unhideWhenUsed/>
    <w:rsid w:val="009E39D5"/>
    <w:pPr>
      <w:tabs>
        <w:tab w:val="center" w:pos="4536"/>
        <w:tab w:val="right" w:pos="9072"/>
      </w:tabs>
    </w:pPr>
  </w:style>
  <w:style w:type="paragraph" w:styleId="Pieddepage">
    <w:name w:val="footer"/>
    <w:basedOn w:val="Normal"/>
    <w:link w:val="PieddepageCar"/>
    <w:uiPriority w:val="99"/>
    <w:unhideWhenUsed/>
    <w:rsid w:val="009E39D5"/>
    <w:pPr>
      <w:tabs>
        <w:tab w:val="center" w:pos="4536"/>
        <w:tab w:val="right" w:pos="9072"/>
      </w:tabs>
    </w:pPr>
  </w:style>
  <w:style w:type="paragraph" w:styleId="Paragraphedeliste">
    <w:name w:val="List Paragraph"/>
    <w:basedOn w:val="Normal"/>
    <w:link w:val="ParagraphedelisteCar"/>
    <w:uiPriority w:val="34"/>
    <w:qFormat/>
    <w:rsid w:val="009E39D5"/>
    <w:pPr>
      <w:ind w:left="720"/>
      <w:contextualSpacing/>
    </w:pPr>
  </w:style>
  <w:style w:type="paragraph" w:styleId="Notedebasdepage">
    <w:name w:val="footnote text"/>
    <w:basedOn w:val="Normal"/>
    <w:link w:val="NotedebasdepageCar"/>
    <w:uiPriority w:val="99"/>
    <w:semiHidden/>
    <w:unhideWhenUsed/>
    <w:rsid w:val="008B32B5"/>
    <w:pPr>
      <w:spacing w:after="200" w:line="276" w:lineRule="auto"/>
      <w:jc w:val="left"/>
    </w:pPr>
    <w:rPr>
      <w:rFonts w:ascii="Calibri" w:eastAsia="Calibri" w:hAnsi="Calibri" w:cs="Times New Roman"/>
      <w:sz w:val="20"/>
      <w:szCs w:val="20"/>
    </w:rPr>
  </w:style>
  <w:style w:type="paragraph" w:styleId="NormalWeb">
    <w:name w:val="Normal (Web)"/>
    <w:basedOn w:val="Normal"/>
    <w:uiPriority w:val="99"/>
    <w:unhideWhenUsed/>
    <w:qFormat/>
    <w:rsid w:val="0009611C"/>
    <w:pPr>
      <w:spacing w:beforeAutospacing="1" w:afterAutospacing="1"/>
      <w:jc w:val="left"/>
    </w:pPr>
    <w:rPr>
      <w:rFonts w:ascii="Times New Roman" w:hAnsi="Times New Roman" w:cs="Times New Roman"/>
      <w:sz w:val="24"/>
      <w:szCs w:val="24"/>
      <w:lang w:eastAsia="fr-FR"/>
    </w:rPr>
  </w:style>
  <w:style w:type="paragraph" w:customStyle="1" w:styleId="Textbody">
    <w:name w:val="Text body"/>
    <w:basedOn w:val="Normal"/>
    <w:qFormat/>
    <w:rsid w:val="00BE008B"/>
    <w:pPr>
      <w:spacing w:after="120"/>
      <w:jc w:val="left"/>
      <w:textAlignment w:val="baseline"/>
    </w:pPr>
    <w:rPr>
      <w:rFonts w:ascii="Liberation Serif" w:eastAsia="SimSun" w:hAnsi="Liberation Serif" w:cs="Arial Unicode MS"/>
      <w:kern w:val="2"/>
      <w:sz w:val="24"/>
      <w:szCs w:val="24"/>
      <w:lang w:eastAsia="zh-CN" w:bidi="hi-IN"/>
    </w:rPr>
  </w:style>
  <w:style w:type="paragraph" w:customStyle="1" w:styleId="Standard">
    <w:name w:val="Standard"/>
    <w:qFormat/>
    <w:rsid w:val="00941C36"/>
    <w:pPr>
      <w:textAlignment w:val="baseline"/>
    </w:pPr>
    <w:rPr>
      <w:rFonts w:ascii="Liberation Serif" w:eastAsia="SimSun" w:hAnsi="Liberation Serif" w:cs="Arial Unicode MS"/>
      <w:kern w:val="2"/>
      <w:sz w:val="24"/>
      <w:szCs w:val="24"/>
      <w:lang w:eastAsia="zh-CN" w:bidi="hi-IN"/>
    </w:rPr>
  </w:style>
  <w:style w:type="paragraph" w:customStyle="1" w:styleId="Contenudecadre">
    <w:name w:val="Contenu de cadre"/>
    <w:basedOn w:val="Normal"/>
    <w:qFormat/>
  </w:style>
  <w:style w:type="paragraph" w:styleId="Commentaire">
    <w:name w:val="annotation text"/>
    <w:basedOn w:val="Normal"/>
    <w:link w:val="CommentaireCar"/>
    <w:qFormat/>
    <w:rPr>
      <w:sz w:val="20"/>
      <w:szCs w:val="20"/>
    </w:rPr>
  </w:style>
  <w:style w:type="numbering" w:customStyle="1" w:styleId="Pasdeliste">
    <w:name w:val="Pas de liste"/>
    <w:uiPriority w:val="99"/>
    <w:semiHidden/>
    <w:unhideWhenUsed/>
    <w:qFormat/>
  </w:style>
  <w:style w:type="table" w:styleId="Grilledutableau">
    <w:name w:val="Table Grid"/>
    <w:basedOn w:val="TableauNormal"/>
    <w:uiPriority w:val="39"/>
    <w:rsid w:val="003C2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9A43B0"/>
    <w:rPr>
      <w:sz w:val="16"/>
      <w:szCs w:val="16"/>
    </w:rPr>
  </w:style>
  <w:style w:type="paragraph" w:styleId="Objetducommentaire">
    <w:name w:val="annotation subject"/>
    <w:basedOn w:val="Commentaire"/>
    <w:next w:val="Commentaire"/>
    <w:link w:val="ObjetducommentaireCar"/>
    <w:uiPriority w:val="99"/>
    <w:semiHidden/>
    <w:unhideWhenUsed/>
    <w:rsid w:val="009A43B0"/>
    <w:rPr>
      <w:b/>
      <w:bCs/>
    </w:rPr>
  </w:style>
  <w:style w:type="character" w:customStyle="1" w:styleId="CommentaireCar">
    <w:name w:val="Commentaire Car"/>
    <w:basedOn w:val="Policepardfaut"/>
    <w:link w:val="Commentaire"/>
    <w:rsid w:val="009A43B0"/>
    <w:rPr>
      <w:sz w:val="20"/>
      <w:szCs w:val="20"/>
    </w:rPr>
  </w:style>
  <w:style w:type="character" w:customStyle="1" w:styleId="ObjetducommentaireCar">
    <w:name w:val="Objet du commentaire Car"/>
    <w:basedOn w:val="CommentaireCar"/>
    <w:link w:val="Objetducommentaire"/>
    <w:uiPriority w:val="99"/>
    <w:semiHidden/>
    <w:rsid w:val="009A43B0"/>
    <w:rPr>
      <w:b/>
      <w:bCs/>
      <w:sz w:val="20"/>
      <w:szCs w:val="20"/>
    </w:rPr>
  </w:style>
  <w:style w:type="paragraph" w:styleId="Rvision">
    <w:name w:val="Revision"/>
    <w:hidden/>
    <w:uiPriority w:val="99"/>
    <w:semiHidden/>
    <w:rsid w:val="009042A9"/>
    <w:pPr>
      <w:suppressAutoHyphens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ème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022602-EA1E-4511-9A4A-7E778ED1BC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7</Pages>
  <Words>2071</Words>
  <Characters>11393</Characters>
  <Application>Microsoft Office Word</Application>
  <DocSecurity>0</DocSecurity>
  <Lines>94</Lines>
  <Paragraphs>26</Paragraphs>
  <ScaleCrop>false</ScaleCrop>
  <HeadingPairs>
    <vt:vector size="2" baseType="variant">
      <vt:variant>
        <vt:lpstr>Titre</vt:lpstr>
      </vt:variant>
      <vt:variant>
        <vt:i4>1</vt:i4>
      </vt:variant>
    </vt:vector>
  </HeadingPairs>
  <TitlesOfParts>
    <vt:vector size="1" baseType="lpstr">
      <vt:lpstr/>
    </vt:vector>
  </TitlesOfParts>
  <Company>Métropole Aix-Marseille-Provence</Company>
  <LinksUpToDate>false</LinksUpToDate>
  <CharactersWithSpaces>13438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FOUQUE Valerie</dc:creator>
  <dc:description/>
  <cp:lastModifiedBy>BASCHIOU Aurelie</cp:lastModifiedBy>
  <cp:revision>4</cp:revision>
  <dcterms:created xsi:type="dcterms:W3CDTF">2026-03-27T08:28:00Z</dcterms:created>
  <dcterms:modified xsi:type="dcterms:W3CDTF">2026-03-27T08:38:00Z</dcterms:modified>
  <dc:language>fr-FR</dc:language>
</cp:coreProperties>
</file>